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277" w:rsidRPr="00DD0CD3" w:rsidRDefault="003D5822" w:rsidP="00DD0CD3">
      <w:pPr>
        <w:adjustRightInd/>
        <w:spacing w:after="120" w:line="240" w:lineRule="auto"/>
        <w:jc w:val="center"/>
        <w:textAlignment w:val="auto"/>
        <w:rPr>
          <w:rFonts w:ascii="標楷體" w:eastAsia="標楷體" w:hAnsi="標楷體" w:hint="eastAsia"/>
          <w:kern w:val="2"/>
          <w:sz w:val="32"/>
          <w:szCs w:val="24"/>
        </w:rPr>
      </w:pPr>
      <w:bookmarkStart w:id="0" w:name="_GoBack"/>
      <w:bookmarkEnd w:id="0"/>
      <w:r w:rsidRPr="003D5822">
        <w:rPr>
          <w:rFonts w:eastAsia="標楷體"/>
          <w:kern w:val="2"/>
          <w:sz w:val="32"/>
          <w:szCs w:val="24"/>
        </w:rPr>
        <w:t>空氣中一氧化碳自動</w:t>
      </w:r>
      <w:r w:rsidRPr="003D5822">
        <w:rPr>
          <w:rFonts w:eastAsia="標楷體" w:hint="eastAsia"/>
          <w:kern w:val="2"/>
          <w:sz w:val="32"/>
          <w:szCs w:val="24"/>
        </w:rPr>
        <w:t>檢測方法－</w:t>
      </w:r>
      <w:r w:rsidR="00254630">
        <w:rPr>
          <w:rFonts w:eastAsia="標楷體"/>
          <w:kern w:val="2"/>
          <w:sz w:val="32"/>
          <w:szCs w:val="24"/>
        </w:rPr>
        <w:t>紅外</w:t>
      </w:r>
      <w:r w:rsidR="00254630">
        <w:rPr>
          <w:rFonts w:eastAsia="標楷體" w:hint="eastAsia"/>
          <w:kern w:val="2"/>
          <w:sz w:val="32"/>
          <w:szCs w:val="24"/>
        </w:rPr>
        <w:t>光</w:t>
      </w:r>
      <w:r w:rsidRPr="003D5822">
        <w:rPr>
          <w:rFonts w:eastAsia="標楷體"/>
          <w:kern w:val="2"/>
          <w:sz w:val="32"/>
          <w:szCs w:val="24"/>
        </w:rPr>
        <w:t>法</w:t>
      </w:r>
    </w:p>
    <w:p w:rsidR="001645A7" w:rsidRPr="000C4277" w:rsidRDefault="001645A7" w:rsidP="001645A7">
      <w:pPr>
        <w:spacing w:line="240" w:lineRule="auto"/>
        <w:jc w:val="right"/>
        <w:textAlignment w:val="auto"/>
        <w:rPr>
          <w:rFonts w:eastAsia="標楷體"/>
          <w:kern w:val="2"/>
          <w:sz w:val="22"/>
          <w:szCs w:val="22"/>
        </w:rPr>
      </w:pPr>
      <w:r w:rsidRPr="000C4277">
        <w:rPr>
          <w:rFonts w:eastAsia="標楷體" w:hint="eastAsia"/>
          <w:kern w:val="2"/>
          <w:sz w:val="22"/>
          <w:szCs w:val="24"/>
        </w:rPr>
        <w:t>中華民國</w:t>
      </w:r>
      <w:r>
        <w:rPr>
          <w:rFonts w:eastAsia="標楷體"/>
          <w:kern w:val="2"/>
          <w:sz w:val="22"/>
          <w:szCs w:val="24"/>
        </w:rPr>
        <w:t>1</w:t>
      </w:r>
      <w:r w:rsidR="007055E8">
        <w:rPr>
          <w:rFonts w:eastAsia="標楷體"/>
          <w:kern w:val="2"/>
          <w:sz w:val="22"/>
          <w:szCs w:val="24"/>
        </w:rPr>
        <w:t>05</w:t>
      </w:r>
      <w:r w:rsidRPr="000C4277">
        <w:rPr>
          <w:rFonts w:eastAsia="標楷體" w:hint="eastAsia"/>
          <w:kern w:val="2"/>
          <w:sz w:val="22"/>
          <w:szCs w:val="24"/>
        </w:rPr>
        <w:t>年</w:t>
      </w:r>
      <w:r>
        <w:rPr>
          <w:rFonts w:eastAsia="標楷體" w:hint="eastAsia"/>
          <w:kern w:val="2"/>
          <w:sz w:val="22"/>
          <w:szCs w:val="24"/>
        </w:rPr>
        <w:t>1</w:t>
      </w:r>
      <w:r w:rsidRPr="000C4277">
        <w:rPr>
          <w:rFonts w:eastAsia="標楷體" w:hint="eastAsia"/>
          <w:kern w:val="2"/>
          <w:sz w:val="22"/>
          <w:szCs w:val="24"/>
        </w:rPr>
        <w:t>月</w:t>
      </w:r>
      <w:r w:rsidR="007055E8">
        <w:rPr>
          <w:rFonts w:eastAsia="標楷體" w:hint="eastAsia"/>
          <w:kern w:val="2"/>
          <w:sz w:val="22"/>
          <w:szCs w:val="24"/>
        </w:rPr>
        <w:t>4</w:t>
      </w:r>
      <w:r w:rsidRPr="000C4277">
        <w:rPr>
          <w:rFonts w:eastAsia="標楷體" w:hint="eastAsia"/>
          <w:kern w:val="2"/>
          <w:sz w:val="22"/>
          <w:szCs w:val="24"/>
        </w:rPr>
        <w:t>日環署檢字第</w:t>
      </w:r>
      <w:r>
        <w:t>1040109934</w:t>
      </w:r>
      <w:r w:rsidRPr="000C4277">
        <w:rPr>
          <w:rFonts w:eastAsia="標楷體" w:hint="eastAsia"/>
          <w:kern w:val="2"/>
          <w:sz w:val="22"/>
          <w:szCs w:val="24"/>
        </w:rPr>
        <w:t>號</w:t>
      </w:r>
      <w:r w:rsidRPr="000C4277">
        <w:rPr>
          <w:rFonts w:eastAsia="標楷體" w:hint="eastAsia"/>
          <w:kern w:val="2"/>
          <w:sz w:val="22"/>
          <w:szCs w:val="22"/>
        </w:rPr>
        <w:t>公告</w:t>
      </w:r>
    </w:p>
    <w:p w:rsidR="001645A7" w:rsidRPr="000C4277" w:rsidRDefault="001645A7" w:rsidP="001645A7">
      <w:pPr>
        <w:tabs>
          <w:tab w:val="left" w:pos="2280"/>
          <w:tab w:val="left" w:pos="2877"/>
          <w:tab w:val="left" w:pos="3836"/>
          <w:tab w:val="left" w:pos="4795"/>
          <w:tab w:val="left" w:pos="5754"/>
          <w:tab w:val="left" w:pos="6713"/>
          <w:tab w:val="left" w:pos="7672"/>
          <w:tab w:val="left" w:pos="8631"/>
          <w:tab w:val="left" w:pos="9590"/>
        </w:tabs>
        <w:autoSpaceDE w:val="0"/>
        <w:autoSpaceDN w:val="0"/>
        <w:snapToGrid w:val="0"/>
        <w:spacing w:line="240" w:lineRule="auto"/>
        <w:ind w:firstLineChars="218" w:firstLine="480"/>
        <w:jc w:val="right"/>
        <w:textAlignment w:val="auto"/>
        <w:outlineLvl w:val="0"/>
        <w:rPr>
          <w:rFonts w:eastAsia="標楷體" w:hint="eastAsia"/>
          <w:bCs/>
          <w:sz w:val="22"/>
        </w:rPr>
      </w:pPr>
      <w:r w:rsidRPr="000C4277">
        <w:rPr>
          <w:rFonts w:eastAsia="標楷體" w:hint="eastAsia"/>
          <w:sz w:val="22"/>
          <w:szCs w:val="22"/>
        </w:rPr>
        <w:t>自中華民國</w:t>
      </w:r>
      <w:r>
        <w:rPr>
          <w:rFonts w:eastAsia="標楷體"/>
          <w:sz w:val="22"/>
          <w:szCs w:val="22"/>
        </w:rPr>
        <w:t>105</w:t>
      </w:r>
      <w:r w:rsidRPr="000C4277">
        <w:rPr>
          <w:rFonts w:eastAsia="標楷體" w:hint="eastAsia"/>
          <w:sz w:val="22"/>
          <w:szCs w:val="22"/>
        </w:rPr>
        <w:t>年</w:t>
      </w:r>
      <w:r>
        <w:rPr>
          <w:rFonts w:eastAsia="標楷體" w:hint="eastAsia"/>
          <w:sz w:val="22"/>
          <w:szCs w:val="22"/>
        </w:rPr>
        <w:t>4</w:t>
      </w:r>
      <w:r w:rsidRPr="000C4277">
        <w:rPr>
          <w:rFonts w:eastAsia="標楷體" w:hint="eastAsia"/>
          <w:sz w:val="22"/>
          <w:szCs w:val="22"/>
        </w:rPr>
        <w:t>月</w:t>
      </w:r>
      <w:r>
        <w:rPr>
          <w:rFonts w:eastAsia="標楷體" w:hint="eastAsia"/>
          <w:sz w:val="22"/>
          <w:szCs w:val="22"/>
        </w:rPr>
        <w:t>15</w:t>
      </w:r>
      <w:r w:rsidRPr="000C4277">
        <w:rPr>
          <w:rFonts w:eastAsia="標楷體" w:hint="eastAsia"/>
          <w:sz w:val="22"/>
          <w:szCs w:val="22"/>
        </w:rPr>
        <w:t>日起實施</w:t>
      </w:r>
    </w:p>
    <w:p w:rsidR="003D5822" w:rsidRDefault="003D5822" w:rsidP="003D582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2280"/>
        </w:tabs>
        <w:snapToGrid w:val="0"/>
        <w:ind w:firstLineChars="218" w:firstLine="523"/>
        <w:jc w:val="right"/>
        <w:outlineLvl w:val="0"/>
        <w:rPr>
          <w:rFonts w:ascii="Times New Roman" w:eastAsia="標楷體" w:hint="eastAsia"/>
          <w:bCs/>
          <w:sz w:val="24"/>
          <w:szCs w:val="24"/>
        </w:rPr>
      </w:pPr>
      <w:r>
        <w:rPr>
          <w:rFonts w:ascii="Times New Roman" w:eastAsia="標楷體"/>
          <w:bCs/>
          <w:sz w:val="24"/>
          <w:szCs w:val="24"/>
        </w:rPr>
        <w:t xml:space="preserve">NIEA </w:t>
      </w:r>
      <w:r>
        <w:rPr>
          <w:rFonts w:ascii="Times New Roman" w:eastAsia="標楷體" w:hint="eastAsia"/>
          <w:bCs/>
          <w:sz w:val="24"/>
          <w:szCs w:val="24"/>
        </w:rPr>
        <w:t>A421.13C</w:t>
      </w:r>
    </w:p>
    <w:p w:rsidR="003D6619" w:rsidRPr="001C4D5A" w:rsidRDefault="003D6619">
      <w:pPr>
        <w:spacing w:before="120" w:after="120" w:line="240" w:lineRule="auto"/>
        <w:ind w:left="482" w:hanging="482"/>
        <w:jc w:val="both"/>
        <w:rPr>
          <w:rFonts w:eastAsia="標楷體"/>
          <w:sz w:val="28"/>
        </w:rPr>
      </w:pPr>
      <w:r w:rsidRPr="001C4D5A">
        <w:rPr>
          <w:rFonts w:eastAsia="標楷體"/>
          <w:sz w:val="28"/>
        </w:rPr>
        <w:t>一、方法概要</w:t>
      </w:r>
    </w:p>
    <w:p w:rsidR="003D6619" w:rsidRPr="001C4D5A" w:rsidRDefault="000F5115" w:rsidP="000F5115">
      <w:pPr>
        <w:spacing w:before="120" w:after="120" w:line="400" w:lineRule="exact"/>
        <w:ind w:leftChars="234" w:left="562" w:firstLineChars="200" w:firstLine="560"/>
        <w:jc w:val="both"/>
        <w:rPr>
          <w:rFonts w:eastAsia="標楷體" w:hint="eastAsia"/>
          <w:sz w:val="28"/>
        </w:rPr>
      </w:pPr>
      <w:r w:rsidRPr="000F5115">
        <w:rPr>
          <w:rFonts w:eastAsia="標楷體"/>
          <w:kern w:val="2"/>
          <w:sz w:val="28"/>
          <w:szCs w:val="24"/>
        </w:rPr>
        <w:t>利用一氧化碳（</w:t>
      </w:r>
      <w:r w:rsidRPr="000F5115">
        <w:rPr>
          <w:rFonts w:eastAsia="標楷體"/>
          <w:kern w:val="2"/>
          <w:sz w:val="28"/>
          <w:szCs w:val="24"/>
        </w:rPr>
        <w:t>CO</w:t>
      </w:r>
      <w:r w:rsidRPr="000F5115">
        <w:rPr>
          <w:rFonts w:eastAsia="標楷體"/>
          <w:kern w:val="2"/>
          <w:sz w:val="28"/>
          <w:szCs w:val="24"/>
        </w:rPr>
        <w:t>）吸收紅外光之特性，測定樣品氣體中一氧化碳的濃度</w:t>
      </w:r>
      <w:r w:rsidR="007C7BA7" w:rsidRPr="000F5115">
        <w:rPr>
          <w:rFonts w:eastAsia="標楷體" w:hint="eastAsia"/>
          <w:kern w:val="2"/>
          <w:sz w:val="28"/>
          <w:szCs w:val="24"/>
        </w:rPr>
        <w:t>（註</w:t>
      </w:r>
      <w:r w:rsidR="007C7BA7" w:rsidRPr="00D634C5">
        <w:rPr>
          <w:rFonts w:eastAsia="標楷體" w:hint="eastAsia"/>
          <w:kern w:val="2"/>
          <w:sz w:val="28"/>
          <w:szCs w:val="24"/>
        </w:rPr>
        <w:t>1</w:t>
      </w:r>
      <w:r w:rsidR="007C7BA7" w:rsidRPr="000F5115">
        <w:rPr>
          <w:rFonts w:eastAsia="標楷體" w:hint="eastAsia"/>
          <w:kern w:val="2"/>
          <w:sz w:val="28"/>
          <w:szCs w:val="24"/>
        </w:rPr>
        <w:t>）</w:t>
      </w:r>
      <w:r w:rsidRPr="000F5115">
        <w:rPr>
          <w:rFonts w:eastAsia="標楷體"/>
          <w:kern w:val="2"/>
          <w:sz w:val="28"/>
          <w:szCs w:val="24"/>
        </w:rPr>
        <w:t>。</w:t>
      </w:r>
    </w:p>
    <w:p w:rsidR="003D6619" w:rsidRPr="001C4D5A" w:rsidRDefault="003D6619">
      <w:pPr>
        <w:spacing w:before="120" w:after="120" w:line="240" w:lineRule="auto"/>
        <w:ind w:left="600" w:hanging="600"/>
        <w:jc w:val="both"/>
        <w:rPr>
          <w:rFonts w:eastAsia="標楷體"/>
          <w:sz w:val="28"/>
        </w:rPr>
      </w:pPr>
      <w:r w:rsidRPr="001C4D5A">
        <w:rPr>
          <w:rFonts w:eastAsia="標楷體"/>
          <w:sz w:val="28"/>
        </w:rPr>
        <w:t>二、適用範圍</w:t>
      </w:r>
    </w:p>
    <w:p w:rsidR="003D6619" w:rsidRPr="00D75C51" w:rsidRDefault="000F5115" w:rsidP="00D75C51">
      <w:pPr>
        <w:spacing w:before="120" w:after="120" w:line="400" w:lineRule="exact"/>
        <w:ind w:leftChars="234" w:left="562" w:firstLineChars="200" w:firstLine="560"/>
        <w:jc w:val="both"/>
        <w:rPr>
          <w:rFonts w:eastAsia="標楷體" w:hint="eastAsia"/>
          <w:kern w:val="2"/>
          <w:sz w:val="28"/>
          <w:szCs w:val="24"/>
        </w:rPr>
      </w:pPr>
      <w:r w:rsidRPr="000F5115">
        <w:rPr>
          <w:rFonts w:eastAsia="標楷體"/>
          <w:kern w:val="2"/>
          <w:sz w:val="28"/>
          <w:szCs w:val="24"/>
        </w:rPr>
        <w:t>本檢驗方法適用</w:t>
      </w:r>
      <w:r w:rsidRPr="000F5115">
        <w:rPr>
          <w:rFonts w:eastAsia="標楷體" w:hint="eastAsia"/>
          <w:kern w:val="2"/>
          <w:sz w:val="28"/>
          <w:szCs w:val="24"/>
        </w:rPr>
        <w:t>空</w:t>
      </w:r>
      <w:r w:rsidRPr="000F5115">
        <w:rPr>
          <w:rFonts w:eastAsia="標楷體"/>
          <w:kern w:val="2"/>
          <w:sz w:val="28"/>
          <w:szCs w:val="24"/>
        </w:rPr>
        <w:t>氣中濃度</w:t>
      </w:r>
      <w:r w:rsidR="007C7BA7">
        <w:rPr>
          <w:rFonts w:eastAsia="標楷體" w:hint="eastAsia"/>
          <w:kern w:val="2"/>
          <w:sz w:val="28"/>
          <w:szCs w:val="24"/>
        </w:rPr>
        <w:t xml:space="preserve"> </w:t>
      </w:r>
      <w:r w:rsidR="003F3D8C">
        <w:rPr>
          <w:rFonts w:eastAsia="標楷體" w:hint="eastAsia"/>
          <w:kern w:val="2"/>
          <w:sz w:val="28"/>
          <w:szCs w:val="24"/>
        </w:rPr>
        <w:t>50.0</w:t>
      </w:r>
      <w:r w:rsidRPr="000F5115">
        <w:rPr>
          <w:rFonts w:eastAsia="標楷體"/>
          <w:kern w:val="2"/>
          <w:sz w:val="28"/>
          <w:szCs w:val="24"/>
        </w:rPr>
        <w:t>ppm</w:t>
      </w:r>
      <w:r w:rsidR="007C7BA7">
        <w:rPr>
          <w:rFonts w:eastAsia="標楷體"/>
          <w:kern w:val="2"/>
          <w:sz w:val="28"/>
          <w:szCs w:val="24"/>
        </w:rPr>
        <w:t xml:space="preserve"> </w:t>
      </w:r>
      <w:r w:rsidRPr="000F5115">
        <w:rPr>
          <w:rFonts w:eastAsia="標楷體" w:hint="eastAsia"/>
          <w:kern w:val="2"/>
          <w:sz w:val="28"/>
          <w:szCs w:val="24"/>
        </w:rPr>
        <w:t>以下</w:t>
      </w:r>
      <w:r w:rsidRPr="000F5115">
        <w:rPr>
          <w:rFonts w:eastAsia="標楷體"/>
          <w:kern w:val="2"/>
          <w:sz w:val="28"/>
          <w:szCs w:val="24"/>
        </w:rPr>
        <w:t>之一氧化碳</w:t>
      </w:r>
      <w:r w:rsidRPr="000F5115">
        <w:rPr>
          <w:rFonts w:eastAsia="標楷體" w:hint="eastAsia"/>
          <w:kern w:val="2"/>
          <w:sz w:val="28"/>
          <w:szCs w:val="24"/>
        </w:rPr>
        <w:t>含量測定</w:t>
      </w:r>
      <w:r w:rsidRPr="00D634C5">
        <w:rPr>
          <w:rFonts w:eastAsia="標楷體" w:hint="eastAsia"/>
          <w:kern w:val="2"/>
          <w:sz w:val="28"/>
          <w:szCs w:val="24"/>
        </w:rPr>
        <w:t>，有關本方法名詞解釋詳如註</w:t>
      </w:r>
      <w:r w:rsidRPr="00D634C5">
        <w:rPr>
          <w:rFonts w:eastAsia="標楷體"/>
          <w:kern w:val="2"/>
          <w:sz w:val="28"/>
          <w:szCs w:val="24"/>
        </w:rPr>
        <w:t>2</w:t>
      </w:r>
      <w:r w:rsidRPr="000F5115">
        <w:rPr>
          <w:rFonts w:eastAsia="標楷體"/>
          <w:kern w:val="2"/>
          <w:sz w:val="28"/>
          <w:szCs w:val="24"/>
        </w:rPr>
        <w:t>。</w:t>
      </w:r>
    </w:p>
    <w:p w:rsidR="003D6619" w:rsidRDefault="003D6619">
      <w:pPr>
        <w:spacing w:before="120" w:after="120" w:line="240" w:lineRule="auto"/>
        <w:ind w:left="600" w:hanging="600"/>
        <w:jc w:val="both"/>
        <w:rPr>
          <w:rFonts w:eastAsia="標楷體"/>
          <w:sz w:val="28"/>
        </w:rPr>
      </w:pPr>
      <w:r w:rsidRPr="001C4D5A">
        <w:rPr>
          <w:rFonts w:eastAsia="標楷體"/>
          <w:sz w:val="28"/>
        </w:rPr>
        <w:t>三、干擾</w:t>
      </w:r>
    </w:p>
    <w:p w:rsidR="000F5115" w:rsidRPr="000F5115" w:rsidRDefault="000F5115" w:rsidP="000F5115">
      <w:pPr>
        <w:spacing w:before="120" w:after="120" w:line="400" w:lineRule="exact"/>
        <w:ind w:leftChars="234" w:left="562" w:firstLineChars="200" w:firstLine="560"/>
        <w:jc w:val="both"/>
        <w:rPr>
          <w:rFonts w:eastAsia="標楷體" w:hint="eastAsia"/>
          <w:kern w:val="2"/>
          <w:sz w:val="28"/>
          <w:szCs w:val="24"/>
        </w:rPr>
      </w:pPr>
      <w:r w:rsidRPr="000F5115">
        <w:rPr>
          <w:rFonts w:eastAsia="標楷體"/>
          <w:kern w:val="2"/>
          <w:sz w:val="28"/>
          <w:szCs w:val="24"/>
        </w:rPr>
        <w:t>水氣及二氧化碳等與一氧化碳具相同吸收特性易造成干擾</w:t>
      </w:r>
      <w:r w:rsidRPr="00D634C5">
        <w:rPr>
          <w:rFonts w:ascii="標楷體" w:eastAsia="標楷體" w:hAnsi="標楷體" w:hint="eastAsia"/>
          <w:kern w:val="2"/>
          <w:sz w:val="28"/>
          <w:szCs w:val="24"/>
        </w:rPr>
        <w:t>；</w:t>
      </w:r>
      <w:r w:rsidRPr="000F5115">
        <w:rPr>
          <w:rFonts w:eastAsia="標楷體"/>
          <w:kern w:val="2"/>
          <w:sz w:val="28"/>
          <w:szCs w:val="24"/>
        </w:rPr>
        <w:t>懸浮微粒亦是干擾來源之一</w:t>
      </w:r>
      <w:r w:rsidRPr="00D634C5">
        <w:rPr>
          <w:rFonts w:ascii="標楷體" w:eastAsia="標楷體" w:hAnsi="標楷體" w:hint="eastAsia"/>
          <w:kern w:val="2"/>
          <w:sz w:val="28"/>
          <w:szCs w:val="24"/>
        </w:rPr>
        <w:t>，</w:t>
      </w:r>
      <w:r w:rsidRPr="000F5115">
        <w:rPr>
          <w:rFonts w:eastAsia="標楷體"/>
          <w:kern w:val="2"/>
          <w:sz w:val="28"/>
          <w:szCs w:val="24"/>
        </w:rPr>
        <w:t>在氣體進入儀器之前，應以玻璃纖維或鐵氟龍濾膜濾除之。</w:t>
      </w:r>
    </w:p>
    <w:p w:rsidR="003D6619" w:rsidRPr="001C4D5A" w:rsidRDefault="003D6619">
      <w:pPr>
        <w:spacing w:before="120" w:after="120" w:line="240" w:lineRule="auto"/>
        <w:ind w:left="1200" w:hanging="1200"/>
        <w:jc w:val="both"/>
        <w:rPr>
          <w:rFonts w:eastAsia="標楷體"/>
          <w:sz w:val="28"/>
        </w:rPr>
      </w:pPr>
      <w:r w:rsidRPr="001C4D5A">
        <w:rPr>
          <w:rFonts w:eastAsia="標楷體"/>
          <w:sz w:val="28"/>
        </w:rPr>
        <w:t>四、設備</w:t>
      </w:r>
      <w:r w:rsidR="009164D5" w:rsidRPr="001C4D5A">
        <w:rPr>
          <w:rFonts w:eastAsia="標楷體"/>
          <w:sz w:val="28"/>
        </w:rPr>
        <w:t>及材料</w:t>
      </w:r>
    </w:p>
    <w:p w:rsidR="000F5115" w:rsidRDefault="000F5115" w:rsidP="000F5115">
      <w:pPr>
        <w:spacing w:before="120" w:after="120" w:line="240" w:lineRule="auto"/>
        <w:ind w:left="1259" w:hanging="839"/>
        <w:jc w:val="both"/>
        <w:rPr>
          <w:rFonts w:eastAsia="標楷體"/>
          <w:sz w:val="28"/>
        </w:rPr>
      </w:pPr>
      <w:r>
        <w:rPr>
          <w:rFonts w:eastAsia="標楷體"/>
          <w:sz w:val="28"/>
        </w:rPr>
        <w:t>（一）</w:t>
      </w:r>
      <w:r w:rsidRPr="000F5115">
        <w:rPr>
          <w:rFonts w:eastAsia="標楷體" w:hint="eastAsia"/>
          <w:sz w:val="28"/>
        </w:rPr>
        <w:t>一氧化碳自動分析儀：以非分散性紅外光法或氣體過濾相關紅外光法為原理之自動分析儀器，其性能須符合表一所列規格。一般此種自動分析儀，其氣體流程及重要單元如圖一所示。</w:t>
      </w:r>
    </w:p>
    <w:p w:rsidR="000F5115" w:rsidRPr="000F5115" w:rsidRDefault="000F5115" w:rsidP="000F5115">
      <w:pPr>
        <w:spacing w:before="120" w:after="120" w:line="240" w:lineRule="auto"/>
        <w:ind w:left="1259" w:hanging="839"/>
        <w:jc w:val="both"/>
        <w:rPr>
          <w:rFonts w:eastAsia="標楷體" w:hint="eastAsia"/>
          <w:sz w:val="28"/>
        </w:rPr>
      </w:pPr>
      <w:r>
        <w:rPr>
          <w:rFonts w:eastAsia="標楷體"/>
          <w:sz w:val="28"/>
        </w:rPr>
        <w:t>（</w:t>
      </w:r>
      <w:r>
        <w:rPr>
          <w:rFonts w:eastAsia="標楷體" w:hint="eastAsia"/>
          <w:sz w:val="28"/>
        </w:rPr>
        <w:t>二</w:t>
      </w:r>
      <w:r>
        <w:rPr>
          <w:rFonts w:eastAsia="標楷體"/>
          <w:sz w:val="28"/>
        </w:rPr>
        <w:t>）</w:t>
      </w:r>
      <w:r w:rsidRPr="000F5115">
        <w:rPr>
          <w:rFonts w:eastAsia="標楷體" w:hint="eastAsia"/>
          <w:sz w:val="28"/>
        </w:rPr>
        <w:t>紀錄器：選擇與分析儀可相容之紙帶紀錄器或數據擷取系統（</w:t>
      </w:r>
      <w:r w:rsidRPr="000F5115">
        <w:rPr>
          <w:rFonts w:eastAsia="標楷體" w:hint="eastAsia"/>
          <w:sz w:val="28"/>
        </w:rPr>
        <w:t>Data logging system</w:t>
      </w:r>
      <w:r w:rsidRPr="000F5115">
        <w:rPr>
          <w:rFonts w:eastAsia="標楷體" w:hint="eastAsia"/>
          <w:sz w:val="28"/>
        </w:rPr>
        <w:t>）。</w:t>
      </w:r>
    </w:p>
    <w:p w:rsidR="003D6619" w:rsidRPr="001C4D5A" w:rsidRDefault="000F5115">
      <w:pPr>
        <w:spacing w:before="120" w:after="120" w:line="240" w:lineRule="auto"/>
        <w:ind w:left="1259" w:hanging="839"/>
        <w:jc w:val="both"/>
        <w:rPr>
          <w:rFonts w:eastAsia="標楷體"/>
          <w:sz w:val="28"/>
        </w:rPr>
      </w:pPr>
      <w:r>
        <w:rPr>
          <w:rFonts w:eastAsia="標楷體"/>
          <w:sz w:val="28"/>
        </w:rPr>
        <w:t>（</w:t>
      </w:r>
      <w:r>
        <w:rPr>
          <w:rFonts w:eastAsia="標楷體" w:hint="eastAsia"/>
          <w:sz w:val="28"/>
        </w:rPr>
        <w:t>三</w:t>
      </w:r>
      <w:r>
        <w:rPr>
          <w:rFonts w:eastAsia="標楷體"/>
          <w:sz w:val="28"/>
        </w:rPr>
        <w:t>）</w:t>
      </w:r>
      <w:r>
        <w:rPr>
          <w:rFonts w:eastAsia="標楷體" w:hint="eastAsia"/>
          <w:sz w:val="28"/>
        </w:rPr>
        <w:t>採樣</w:t>
      </w:r>
      <w:r w:rsidR="003D6619" w:rsidRPr="001C4D5A">
        <w:rPr>
          <w:rFonts w:eastAsia="標楷體"/>
          <w:sz w:val="28"/>
        </w:rPr>
        <w:t>設備</w:t>
      </w:r>
    </w:p>
    <w:p w:rsidR="003D6619" w:rsidRDefault="000F5115" w:rsidP="000B23D3">
      <w:pPr>
        <w:spacing w:before="120" w:after="120" w:line="240" w:lineRule="auto"/>
        <w:ind w:left="1498" w:hanging="217"/>
        <w:jc w:val="both"/>
        <w:rPr>
          <w:rFonts w:eastAsia="標楷體"/>
          <w:sz w:val="28"/>
        </w:rPr>
      </w:pPr>
      <w:r>
        <w:rPr>
          <w:rFonts w:eastAsia="標楷體" w:hint="eastAsia"/>
          <w:sz w:val="28"/>
        </w:rPr>
        <w:t>1</w:t>
      </w:r>
      <w:r w:rsidR="000B23D3" w:rsidRPr="001C4D5A">
        <w:rPr>
          <w:rFonts w:eastAsia="標楷體"/>
          <w:sz w:val="28"/>
        </w:rPr>
        <w:t>.</w:t>
      </w:r>
      <w:r w:rsidRPr="000F5115">
        <w:rPr>
          <w:rFonts w:eastAsia="標楷體" w:hint="eastAsia"/>
          <w:sz w:val="28"/>
        </w:rPr>
        <w:t>採樣口：採樣口的形狀應避免造成亂流，如幾何對稱之圓形開口。</w:t>
      </w:r>
    </w:p>
    <w:p w:rsidR="000F5115" w:rsidRDefault="000F5115" w:rsidP="000B23D3">
      <w:pPr>
        <w:spacing w:before="120" w:after="120" w:line="240" w:lineRule="auto"/>
        <w:ind w:left="1498" w:hanging="217"/>
        <w:jc w:val="both"/>
        <w:rPr>
          <w:rFonts w:eastAsia="標楷體"/>
          <w:sz w:val="28"/>
        </w:rPr>
      </w:pPr>
      <w:r>
        <w:rPr>
          <w:rFonts w:eastAsia="標楷體" w:hint="eastAsia"/>
          <w:sz w:val="28"/>
        </w:rPr>
        <w:t>2</w:t>
      </w:r>
      <w:r w:rsidRPr="000F5115">
        <w:rPr>
          <w:rFonts w:eastAsia="標楷體" w:hint="eastAsia"/>
          <w:sz w:val="28"/>
        </w:rPr>
        <w:t>.</w:t>
      </w:r>
      <w:r w:rsidRPr="000F5115">
        <w:rPr>
          <w:rFonts w:eastAsia="標楷體" w:hint="eastAsia"/>
          <w:sz w:val="28"/>
        </w:rPr>
        <w:tab/>
      </w:r>
      <w:r w:rsidRPr="000F5115">
        <w:rPr>
          <w:rFonts w:eastAsia="標楷體" w:hint="eastAsia"/>
          <w:sz w:val="28"/>
        </w:rPr>
        <w:t>抽氣馬達：馬達的抽氣量須滿足儀器所需的流量。</w:t>
      </w:r>
    </w:p>
    <w:p w:rsidR="000F5115" w:rsidRDefault="000F5115" w:rsidP="000B23D3">
      <w:pPr>
        <w:spacing w:before="120" w:after="120" w:line="240" w:lineRule="auto"/>
        <w:ind w:left="1498" w:hanging="217"/>
        <w:jc w:val="both"/>
        <w:rPr>
          <w:rFonts w:eastAsia="標楷體"/>
          <w:sz w:val="28"/>
        </w:rPr>
      </w:pPr>
      <w:r>
        <w:rPr>
          <w:rFonts w:eastAsia="標楷體" w:hint="eastAsia"/>
          <w:sz w:val="28"/>
        </w:rPr>
        <w:t>3</w:t>
      </w:r>
      <w:r w:rsidRPr="000F5115">
        <w:rPr>
          <w:rFonts w:eastAsia="標楷體" w:hint="eastAsia"/>
          <w:sz w:val="28"/>
        </w:rPr>
        <w:t>.</w:t>
      </w:r>
      <w:r w:rsidRPr="000F5115">
        <w:rPr>
          <w:rFonts w:eastAsia="標楷體" w:hint="eastAsia"/>
          <w:sz w:val="28"/>
        </w:rPr>
        <w:tab/>
      </w:r>
      <w:r w:rsidRPr="000F5115">
        <w:rPr>
          <w:rFonts w:eastAsia="標楷體" w:hint="eastAsia"/>
          <w:sz w:val="28"/>
        </w:rPr>
        <w:t>氣體輸送管線：管線的材質應為玻璃、鐵氟龍等惰性物質，其長度不應超過</w:t>
      </w:r>
      <w:r w:rsidR="007C7BA7">
        <w:rPr>
          <w:rFonts w:eastAsia="標楷體" w:hint="eastAsia"/>
          <w:sz w:val="28"/>
        </w:rPr>
        <w:t xml:space="preserve"> </w:t>
      </w:r>
      <w:r w:rsidRPr="000F5115">
        <w:rPr>
          <w:rFonts w:eastAsia="標楷體" w:hint="eastAsia"/>
          <w:sz w:val="28"/>
        </w:rPr>
        <w:t>10</w:t>
      </w:r>
      <w:r w:rsidRPr="000F5115">
        <w:rPr>
          <w:rFonts w:eastAsia="標楷體" w:hint="eastAsia"/>
          <w:sz w:val="28"/>
        </w:rPr>
        <w:t>公尺，以避免造成誤差。</w:t>
      </w:r>
    </w:p>
    <w:p w:rsidR="00D75C51" w:rsidRDefault="00D75C51" w:rsidP="000B23D3">
      <w:pPr>
        <w:spacing w:before="120" w:after="120" w:line="240" w:lineRule="auto"/>
        <w:ind w:left="1498" w:hanging="217"/>
        <w:jc w:val="both"/>
        <w:rPr>
          <w:rFonts w:eastAsia="標楷體" w:hint="eastAsia"/>
          <w:sz w:val="28"/>
        </w:rPr>
      </w:pPr>
    </w:p>
    <w:p w:rsidR="000F5115" w:rsidRPr="001C4D5A" w:rsidRDefault="000F5115" w:rsidP="000F5115">
      <w:pPr>
        <w:spacing w:before="120" w:after="120" w:line="240" w:lineRule="auto"/>
        <w:ind w:left="1259" w:hanging="839"/>
        <w:jc w:val="both"/>
        <w:rPr>
          <w:rFonts w:eastAsia="標楷體"/>
          <w:sz w:val="28"/>
        </w:rPr>
      </w:pPr>
      <w:r>
        <w:rPr>
          <w:rFonts w:eastAsia="標楷體"/>
          <w:sz w:val="28"/>
        </w:rPr>
        <w:lastRenderedPageBreak/>
        <w:t>（</w:t>
      </w:r>
      <w:r>
        <w:rPr>
          <w:rFonts w:eastAsia="標楷體" w:hint="eastAsia"/>
          <w:sz w:val="28"/>
        </w:rPr>
        <w:t>四</w:t>
      </w:r>
      <w:r>
        <w:rPr>
          <w:rFonts w:eastAsia="標楷體"/>
          <w:sz w:val="28"/>
        </w:rPr>
        <w:t>）</w:t>
      </w:r>
      <w:r>
        <w:rPr>
          <w:rFonts w:eastAsia="標楷體" w:hint="eastAsia"/>
          <w:sz w:val="28"/>
        </w:rPr>
        <w:t>校正</w:t>
      </w:r>
      <w:r w:rsidRPr="001C4D5A">
        <w:rPr>
          <w:rFonts w:eastAsia="標楷體"/>
          <w:sz w:val="28"/>
        </w:rPr>
        <w:t>設備</w:t>
      </w:r>
    </w:p>
    <w:p w:rsidR="000F5115" w:rsidRDefault="000F5115" w:rsidP="000F5115">
      <w:pPr>
        <w:spacing w:before="120" w:after="120" w:line="240" w:lineRule="auto"/>
        <w:ind w:left="1498" w:hanging="217"/>
        <w:jc w:val="both"/>
        <w:rPr>
          <w:rFonts w:eastAsia="標楷體"/>
          <w:sz w:val="28"/>
        </w:rPr>
      </w:pPr>
      <w:r>
        <w:rPr>
          <w:rFonts w:eastAsia="標楷體" w:hint="eastAsia"/>
          <w:sz w:val="28"/>
        </w:rPr>
        <w:t>1</w:t>
      </w:r>
      <w:r w:rsidRPr="001C4D5A">
        <w:rPr>
          <w:rFonts w:eastAsia="標楷體"/>
          <w:sz w:val="28"/>
        </w:rPr>
        <w:t>.</w:t>
      </w:r>
      <w:r w:rsidRPr="000F5115">
        <w:rPr>
          <w:rFonts w:eastAsia="標楷體" w:hint="eastAsia"/>
          <w:sz w:val="28"/>
        </w:rPr>
        <w:t>流量控制閥：可調整及控制流量，若供稀釋用</w:t>
      </w:r>
      <w:r w:rsidRPr="00D634C5">
        <w:rPr>
          <w:rFonts w:eastAsia="標楷體" w:hint="eastAsia"/>
          <w:sz w:val="28"/>
        </w:rPr>
        <w:t>（含氣體稀釋器）</w:t>
      </w:r>
      <w:r w:rsidRPr="000F5115">
        <w:rPr>
          <w:rFonts w:eastAsia="標楷體" w:hint="eastAsia"/>
          <w:sz w:val="28"/>
        </w:rPr>
        <w:t>須具</w:t>
      </w:r>
      <w:r w:rsidRPr="00D634C5">
        <w:rPr>
          <w:rFonts w:eastAsia="標楷體" w:hint="eastAsia"/>
          <w:sz w:val="28"/>
        </w:rPr>
        <w:t xml:space="preserve"> </w:t>
      </w:r>
      <w:r w:rsidRPr="00D634C5">
        <w:rPr>
          <w:rFonts w:eastAsia="標楷體" w:hint="eastAsia"/>
          <w:sz w:val="28"/>
        </w:rPr>
        <w:t>±</w:t>
      </w:r>
      <w:r w:rsidR="003F3D8C">
        <w:rPr>
          <w:rFonts w:eastAsia="標楷體" w:hint="eastAsia"/>
          <w:sz w:val="28"/>
        </w:rPr>
        <w:t>2</w:t>
      </w:r>
      <w:r w:rsidR="00CD5ACC" w:rsidRPr="00D634C5">
        <w:rPr>
          <w:rFonts w:eastAsia="標楷體"/>
          <w:sz w:val="28"/>
        </w:rPr>
        <w:t>%</w:t>
      </w:r>
      <w:r w:rsidR="007C7BA7">
        <w:rPr>
          <w:rFonts w:eastAsia="標楷體"/>
          <w:sz w:val="28"/>
        </w:rPr>
        <w:t xml:space="preserve"> </w:t>
      </w:r>
      <w:r w:rsidRPr="000F5115">
        <w:rPr>
          <w:rFonts w:eastAsia="標楷體" w:hint="eastAsia"/>
          <w:sz w:val="28"/>
        </w:rPr>
        <w:t>的準確度。</w:t>
      </w:r>
    </w:p>
    <w:p w:rsidR="000F5115" w:rsidRDefault="000F5115" w:rsidP="000F5115">
      <w:pPr>
        <w:spacing w:before="120" w:after="120" w:line="240" w:lineRule="auto"/>
        <w:ind w:left="1498" w:hanging="217"/>
        <w:jc w:val="both"/>
        <w:rPr>
          <w:rFonts w:eastAsia="標楷體"/>
          <w:sz w:val="28"/>
        </w:rPr>
      </w:pPr>
      <w:r>
        <w:rPr>
          <w:rFonts w:eastAsia="標楷體" w:hint="eastAsia"/>
          <w:sz w:val="28"/>
        </w:rPr>
        <w:t>2</w:t>
      </w:r>
      <w:r w:rsidRPr="000F5115">
        <w:rPr>
          <w:rFonts w:eastAsia="標楷體" w:hint="eastAsia"/>
          <w:sz w:val="28"/>
        </w:rPr>
        <w:t>.</w:t>
      </w:r>
      <w:r w:rsidRPr="000F5115">
        <w:rPr>
          <w:rFonts w:eastAsia="標楷體" w:hint="eastAsia"/>
          <w:sz w:val="28"/>
        </w:rPr>
        <w:t>流量計：具</w:t>
      </w:r>
      <w:r w:rsidRPr="000F5115">
        <w:rPr>
          <w:rFonts w:eastAsia="標楷體" w:hint="eastAsia"/>
          <w:sz w:val="28"/>
        </w:rPr>
        <w:t xml:space="preserve"> </w:t>
      </w:r>
      <w:r w:rsidRPr="000F5115">
        <w:rPr>
          <w:rFonts w:eastAsia="標楷體" w:hint="eastAsia"/>
          <w:sz w:val="28"/>
        </w:rPr>
        <w:t>±</w:t>
      </w:r>
      <w:r w:rsidRPr="000F5115">
        <w:rPr>
          <w:rFonts w:eastAsia="標楷體" w:hint="eastAsia"/>
          <w:sz w:val="28"/>
        </w:rPr>
        <w:t>2</w:t>
      </w:r>
      <w:r w:rsidR="00CD5ACC" w:rsidRPr="00CD5ACC">
        <w:rPr>
          <w:rFonts w:eastAsia="標楷體"/>
          <w:sz w:val="28"/>
        </w:rPr>
        <w:t>%</w:t>
      </w:r>
      <w:r w:rsidRPr="000F5115">
        <w:rPr>
          <w:rFonts w:eastAsia="標楷體" w:hint="eastAsia"/>
          <w:sz w:val="28"/>
        </w:rPr>
        <w:t xml:space="preserve"> </w:t>
      </w:r>
      <w:r w:rsidRPr="000F5115">
        <w:rPr>
          <w:rFonts w:eastAsia="標楷體" w:hint="eastAsia"/>
          <w:sz w:val="28"/>
        </w:rPr>
        <w:t>準確度之經校正的流量計。</w:t>
      </w:r>
    </w:p>
    <w:p w:rsidR="000F5115" w:rsidRDefault="000F5115" w:rsidP="000F5115">
      <w:pPr>
        <w:spacing w:before="120" w:after="120" w:line="240" w:lineRule="auto"/>
        <w:ind w:left="1498" w:hanging="217"/>
        <w:jc w:val="both"/>
        <w:rPr>
          <w:rFonts w:eastAsia="標楷體"/>
          <w:sz w:val="28"/>
        </w:rPr>
      </w:pPr>
      <w:r>
        <w:rPr>
          <w:rFonts w:eastAsia="標楷體" w:hint="eastAsia"/>
          <w:sz w:val="28"/>
        </w:rPr>
        <w:t>3</w:t>
      </w:r>
      <w:r w:rsidRPr="000F5115">
        <w:rPr>
          <w:rFonts w:eastAsia="標楷體" w:hint="eastAsia"/>
          <w:sz w:val="28"/>
        </w:rPr>
        <w:t>.</w:t>
      </w:r>
      <w:r w:rsidRPr="000F5115">
        <w:rPr>
          <w:rFonts w:eastAsia="標楷體" w:hint="eastAsia"/>
          <w:sz w:val="28"/>
        </w:rPr>
        <w:t>一氧化碳鋼瓶控壓閥：具有惰性材質內膜及內組件的壓力控制器。</w:t>
      </w:r>
    </w:p>
    <w:p w:rsidR="000F5115" w:rsidRDefault="000F5115" w:rsidP="000F5115">
      <w:pPr>
        <w:spacing w:before="120" w:after="120" w:line="240" w:lineRule="auto"/>
        <w:ind w:left="1498" w:hanging="217"/>
        <w:jc w:val="both"/>
        <w:rPr>
          <w:rFonts w:eastAsia="標楷體"/>
          <w:sz w:val="28"/>
        </w:rPr>
      </w:pPr>
      <w:r>
        <w:rPr>
          <w:rFonts w:eastAsia="標楷體" w:hint="eastAsia"/>
          <w:sz w:val="28"/>
        </w:rPr>
        <w:t>4</w:t>
      </w:r>
      <w:r w:rsidRPr="000F5115">
        <w:rPr>
          <w:rFonts w:eastAsia="標楷體" w:hint="eastAsia"/>
          <w:sz w:val="28"/>
        </w:rPr>
        <w:t>.</w:t>
      </w:r>
      <w:r w:rsidRPr="000F5115">
        <w:rPr>
          <w:rFonts w:eastAsia="標楷體" w:hint="eastAsia"/>
          <w:sz w:val="28"/>
        </w:rPr>
        <w:t>混合槽：供一氧化碳標準氣體與零點標準氣體充分混合的容器。</w:t>
      </w:r>
    </w:p>
    <w:p w:rsidR="000F5115" w:rsidRPr="000F5115" w:rsidRDefault="000F5115" w:rsidP="000F5115">
      <w:pPr>
        <w:spacing w:before="120" w:after="120" w:line="240" w:lineRule="auto"/>
        <w:ind w:left="1498" w:hanging="217"/>
        <w:jc w:val="both"/>
        <w:rPr>
          <w:rFonts w:eastAsia="標楷體" w:hint="eastAsia"/>
          <w:sz w:val="28"/>
        </w:rPr>
      </w:pPr>
      <w:r>
        <w:rPr>
          <w:rFonts w:eastAsia="標楷體" w:hint="eastAsia"/>
          <w:sz w:val="28"/>
        </w:rPr>
        <w:t>5</w:t>
      </w:r>
      <w:r w:rsidRPr="000F5115">
        <w:rPr>
          <w:rFonts w:eastAsia="標楷體" w:hint="eastAsia"/>
          <w:sz w:val="28"/>
        </w:rPr>
        <w:t>.</w:t>
      </w:r>
      <w:r w:rsidRPr="000F5115">
        <w:rPr>
          <w:rFonts w:eastAsia="標楷體" w:hint="eastAsia"/>
          <w:sz w:val="28"/>
        </w:rPr>
        <w:tab/>
      </w:r>
      <w:r w:rsidRPr="000F5115">
        <w:rPr>
          <w:rFonts w:eastAsia="標楷體" w:hint="eastAsia"/>
          <w:sz w:val="28"/>
        </w:rPr>
        <w:t>輸出歧管：以玻璃、鐵氟龍等惰性材質製成的氣流分配管，具有足夠的管徑以使在分析儀連接處的壓差不明顯，且應有避免大氣進入的閥門。</w:t>
      </w:r>
    </w:p>
    <w:p w:rsidR="003D6619" w:rsidRPr="001C4D5A" w:rsidRDefault="003D6619">
      <w:pPr>
        <w:spacing w:before="120" w:after="120" w:line="240" w:lineRule="auto"/>
        <w:ind w:left="482" w:hanging="482"/>
        <w:jc w:val="both"/>
        <w:rPr>
          <w:rFonts w:eastAsia="標楷體"/>
          <w:sz w:val="28"/>
        </w:rPr>
      </w:pPr>
      <w:r w:rsidRPr="001C4D5A">
        <w:rPr>
          <w:rFonts w:eastAsia="標楷體"/>
          <w:sz w:val="28"/>
        </w:rPr>
        <w:t>五、試劑</w:t>
      </w:r>
    </w:p>
    <w:p w:rsidR="003D6619" w:rsidRPr="001C4D5A" w:rsidRDefault="003D6619">
      <w:pPr>
        <w:pStyle w:val="20"/>
      </w:pPr>
      <w:r w:rsidRPr="001C4D5A">
        <w:t>（一）</w:t>
      </w:r>
      <w:r w:rsidR="002210DB" w:rsidRPr="002210DB">
        <w:rPr>
          <w:rFonts w:hint="eastAsia"/>
        </w:rPr>
        <w:t>一氧化碳標準氣體：含校正所需濃度的一氧化碳鋼瓶氣體或稀釋用的高濃度一氧化碳鋼瓶氣體，其品質須能追溯至國家或國際標準。</w:t>
      </w:r>
    </w:p>
    <w:p w:rsidR="003D6619" w:rsidRPr="001C4D5A" w:rsidRDefault="003D6619">
      <w:pPr>
        <w:pStyle w:val="20"/>
      </w:pPr>
      <w:r w:rsidRPr="001C4D5A">
        <w:t>（二）</w:t>
      </w:r>
      <w:r w:rsidR="002210DB" w:rsidRPr="002210DB">
        <w:rPr>
          <w:rFonts w:hint="eastAsia"/>
        </w:rPr>
        <w:t>零點標準氣體：不含</w:t>
      </w:r>
      <w:r w:rsidR="002210DB" w:rsidRPr="002210DB">
        <w:rPr>
          <w:rFonts w:hint="eastAsia"/>
        </w:rPr>
        <w:t>CO</w:t>
      </w:r>
      <w:r w:rsidR="002210DB" w:rsidRPr="002210DB">
        <w:rPr>
          <w:rFonts w:hint="eastAsia"/>
        </w:rPr>
        <w:t>以外任何可引起分析儀應答（</w:t>
      </w:r>
      <w:r w:rsidR="002210DB" w:rsidRPr="002210DB">
        <w:rPr>
          <w:rFonts w:hint="eastAsia"/>
        </w:rPr>
        <w:t>Response</w:t>
      </w:r>
      <w:r w:rsidR="002210DB" w:rsidRPr="002210DB">
        <w:rPr>
          <w:rFonts w:hint="eastAsia"/>
        </w:rPr>
        <w:t>）之物質的氣體，且其含一氧化碳濃度應小於</w:t>
      </w:r>
      <w:r w:rsidR="007C7BA7">
        <w:rPr>
          <w:rFonts w:hint="eastAsia"/>
        </w:rPr>
        <w:t xml:space="preserve"> </w:t>
      </w:r>
      <w:r w:rsidR="002210DB" w:rsidRPr="002210DB">
        <w:rPr>
          <w:rFonts w:hint="eastAsia"/>
        </w:rPr>
        <w:t>0.1ppm</w:t>
      </w:r>
      <w:r w:rsidR="002210DB" w:rsidRPr="002210DB">
        <w:rPr>
          <w:rFonts w:hint="eastAsia"/>
        </w:rPr>
        <w:t>。</w:t>
      </w:r>
    </w:p>
    <w:p w:rsidR="003D6619" w:rsidRDefault="003D6619">
      <w:pPr>
        <w:spacing w:before="120" w:after="120" w:line="240" w:lineRule="auto"/>
        <w:ind w:left="482" w:hanging="482"/>
        <w:jc w:val="both"/>
        <w:rPr>
          <w:rFonts w:eastAsia="標楷體"/>
          <w:sz w:val="28"/>
        </w:rPr>
      </w:pPr>
      <w:r w:rsidRPr="001C4D5A">
        <w:rPr>
          <w:rFonts w:eastAsia="標楷體"/>
          <w:sz w:val="28"/>
        </w:rPr>
        <w:t>六、採樣與保存</w:t>
      </w:r>
    </w:p>
    <w:p w:rsidR="002210DB" w:rsidRPr="001C4D5A" w:rsidRDefault="002210DB" w:rsidP="002210DB">
      <w:pPr>
        <w:spacing w:before="120" w:after="120" w:line="400" w:lineRule="exact"/>
        <w:ind w:leftChars="234" w:left="562" w:firstLineChars="200" w:firstLine="560"/>
        <w:jc w:val="both"/>
        <w:rPr>
          <w:rFonts w:eastAsia="標楷體" w:hint="eastAsia"/>
          <w:sz w:val="28"/>
        </w:rPr>
      </w:pPr>
      <w:r w:rsidRPr="002210DB">
        <w:rPr>
          <w:rFonts w:eastAsia="標楷體" w:hint="eastAsia"/>
          <w:kern w:val="2"/>
          <w:sz w:val="28"/>
          <w:szCs w:val="24"/>
        </w:rPr>
        <w:t>空氣品質採樣口的置放位置原則上為離地面</w:t>
      </w:r>
      <w:r w:rsidRPr="002210DB">
        <w:rPr>
          <w:rFonts w:eastAsia="標楷體" w:hint="eastAsia"/>
          <w:kern w:val="2"/>
          <w:sz w:val="28"/>
          <w:szCs w:val="24"/>
        </w:rPr>
        <w:t xml:space="preserve"> 3 </w:t>
      </w:r>
      <w:r w:rsidRPr="002210DB">
        <w:rPr>
          <w:rFonts w:eastAsia="標楷體" w:hint="eastAsia"/>
          <w:kern w:val="2"/>
          <w:sz w:val="28"/>
          <w:szCs w:val="24"/>
        </w:rPr>
        <w:t>至</w:t>
      </w:r>
      <w:r w:rsidRPr="002210DB">
        <w:rPr>
          <w:rFonts w:eastAsia="標楷體" w:hint="eastAsia"/>
          <w:kern w:val="2"/>
          <w:sz w:val="28"/>
          <w:szCs w:val="24"/>
        </w:rPr>
        <w:t xml:space="preserve"> 15 </w:t>
      </w:r>
      <w:r w:rsidRPr="002210DB">
        <w:rPr>
          <w:rFonts w:eastAsia="標楷體" w:hint="eastAsia"/>
          <w:kern w:val="2"/>
          <w:sz w:val="28"/>
          <w:szCs w:val="24"/>
        </w:rPr>
        <w:t>公尺的高度範圍內，其它空氣中採樣口的置放位置原則上為離地面</w:t>
      </w:r>
      <w:r w:rsidR="007C7BA7">
        <w:rPr>
          <w:rFonts w:eastAsia="標楷體" w:hint="eastAsia"/>
          <w:kern w:val="2"/>
          <w:sz w:val="28"/>
          <w:szCs w:val="24"/>
        </w:rPr>
        <w:t xml:space="preserve"> </w:t>
      </w:r>
      <w:r w:rsidRPr="002210DB">
        <w:rPr>
          <w:rFonts w:eastAsia="標楷體" w:hint="eastAsia"/>
          <w:kern w:val="2"/>
          <w:sz w:val="28"/>
          <w:szCs w:val="24"/>
        </w:rPr>
        <w:t xml:space="preserve">1.2 </w:t>
      </w:r>
      <w:r w:rsidRPr="002210DB">
        <w:rPr>
          <w:rFonts w:eastAsia="標楷體" w:hint="eastAsia"/>
          <w:kern w:val="2"/>
          <w:sz w:val="28"/>
          <w:szCs w:val="24"/>
        </w:rPr>
        <w:t>至</w:t>
      </w:r>
      <w:r w:rsidRPr="002210DB">
        <w:rPr>
          <w:rFonts w:eastAsia="標楷體" w:hint="eastAsia"/>
          <w:kern w:val="2"/>
          <w:sz w:val="28"/>
          <w:szCs w:val="24"/>
        </w:rPr>
        <w:t xml:space="preserve"> 1.5 </w:t>
      </w:r>
      <w:r w:rsidRPr="002210DB">
        <w:rPr>
          <w:rFonts w:eastAsia="標楷體" w:hint="eastAsia"/>
          <w:kern w:val="2"/>
          <w:sz w:val="28"/>
          <w:szCs w:val="24"/>
        </w:rPr>
        <w:t>公尺的高度範圍內。</w:t>
      </w:r>
    </w:p>
    <w:p w:rsidR="003D6619" w:rsidRPr="001C4D5A" w:rsidRDefault="003D6619">
      <w:pPr>
        <w:spacing w:before="120" w:after="120" w:line="240" w:lineRule="auto"/>
        <w:ind w:left="1200" w:hanging="1200"/>
        <w:jc w:val="both"/>
        <w:rPr>
          <w:rFonts w:eastAsia="標楷體"/>
          <w:sz w:val="28"/>
        </w:rPr>
      </w:pPr>
      <w:r w:rsidRPr="001C4D5A">
        <w:rPr>
          <w:rFonts w:eastAsia="標楷體"/>
          <w:sz w:val="28"/>
        </w:rPr>
        <w:t>七、步驟</w:t>
      </w:r>
    </w:p>
    <w:p w:rsidR="003D6619" w:rsidRPr="001C4D5A" w:rsidRDefault="002210DB">
      <w:pPr>
        <w:spacing w:before="120" w:after="120" w:line="240" w:lineRule="auto"/>
        <w:ind w:left="1259" w:hanging="839"/>
        <w:jc w:val="both"/>
        <w:rPr>
          <w:rFonts w:eastAsia="標楷體"/>
          <w:sz w:val="28"/>
        </w:rPr>
      </w:pPr>
      <w:r>
        <w:rPr>
          <w:rFonts w:eastAsia="標楷體"/>
          <w:sz w:val="28"/>
        </w:rPr>
        <w:t>（一）</w:t>
      </w:r>
      <w:r w:rsidRPr="002210DB">
        <w:rPr>
          <w:rFonts w:eastAsia="標楷體" w:hint="eastAsia"/>
          <w:sz w:val="28"/>
        </w:rPr>
        <w:t>一般操作步驟：將採樣設備一氧化碳自動分析儀及紀錄器裝置妥後，先行檢查管路系統等配備，確定無誤且無漏氣，方可進行檢驗工作。儀器操作方法會因廠家不同而異，下述為一般操作步驟：</w:t>
      </w:r>
    </w:p>
    <w:p w:rsidR="003D6619" w:rsidRDefault="003D6619">
      <w:pPr>
        <w:spacing w:before="120" w:after="120" w:line="240" w:lineRule="auto"/>
        <w:ind w:left="1701" w:hanging="420"/>
        <w:jc w:val="both"/>
        <w:rPr>
          <w:rFonts w:ascii="標楷體" w:eastAsia="標楷體" w:hAnsi="標楷體"/>
          <w:sz w:val="28"/>
        </w:rPr>
      </w:pPr>
      <w:r w:rsidRPr="001C4D5A">
        <w:rPr>
          <w:rFonts w:eastAsia="標楷體"/>
          <w:sz w:val="28"/>
        </w:rPr>
        <w:t>1.</w:t>
      </w:r>
      <w:r w:rsidR="002210DB" w:rsidRPr="002210DB">
        <w:rPr>
          <w:rFonts w:eastAsia="標楷體" w:hint="eastAsia"/>
          <w:sz w:val="28"/>
        </w:rPr>
        <w:t>設定操作條件</w:t>
      </w:r>
      <w:r w:rsidR="002210DB">
        <w:rPr>
          <w:rFonts w:ascii="標楷體" w:eastAsia="標楷體" w:hAnsi="標楷體" w:hint="eastAsia"/>
          <w:sz w:val="28"/>
        </w:rPr>
        <w:t>。</w:t>
      </w:r>
    </w:p>
    <w:p w:rsidR="002210DB" w:rsidRDefault="002210DB" w:rsidP="002210DB">
      <w:pPr>
        <w:spacing w:before="120" w:after="120" w:line="240" w:lineRule="auto"/>
        <w:ind w:left="1498" w:hanging="217"/>
        <w:jc w:val="both"/>
        <w:rPr>
          <w:rFonts w:eastAsia="標楷體"/>
          <w:sz w:val="28"/>
        </w:rPr>
      </w:pPr>
      <w:r>
        <w:rPr>
          <w:rFonts w:eastAsia="標楷體" w:hint="eastAsia"/>
          <w:sz w:val="28"/>
        </w:rPr>
        <w:t>2</w:t>
      </w:r>
      <w:r w:rsidRPr="000F5115">
        <w:rPr>
          <w:rFonts w:eastAsia="標楷體" w:hint="eastAsia"/>
          <w:sz w:val="28"/>
        </w:rPr>
        <w:t>.</w:t>
      </w:r>
      <w:r w:rsidRPr="002210DB">
        <w:rPr>
          <w:rFonts w:eastAsia="標楷體" w:hint="eastAsia"/>
          <w:sz w:val="28"/>
        </w:rPr>
        <w:t>零點／全幅兩點檢查，若零點偏移超過</w:t>
      </w:r>
      <w:r w:rsidRPr="002210DB">
        <w:rPr>
          <w:rFonts w:eastAsia="標楷體" w:hint="eastAsia"/>
          <w:sz w:val="28"/>
        </w:rPr>
        <w:t xml:space="preserve"> </w:t>
      </w:r>
      <w:r w:rsidRPr="002210DB">
        <w:rPr>
          <w:rFonts w:eastAsia="標楷體" w:hint="eastAsia"/>
          <w:sz w:val="28"/>
        </w:rPr>
        <w:t>±</w:t>
      </w:r>
      <w:r w:rsidR="003F3D8C">
        <w:rPr>
          <w:rFonts w:eastAsia="標楷體" w:hint="eastAsia"/>
          <w:sz w:val="28"/>
        </w:rPr>
        <w:t>0.5</w:t>
      </w:r>
      <w:r w:rsidRPr="002210DB">
        <w:rPr>
          <w:rFonts w:eastAsia="標楷體" w:hint="eastAsia"/>
          <w:sz w:val="28"/>
        </w:rPr>
        <w:t>ppm</w:t>
      </w:r>
      <w:r w:rsidRPr="002210DB">
        <w:rPr>
          <w:rFonts w:eastAsia="標楷體" w:hint="eastAsia"/>
          <w:sz w:val="28"/>
        </w:rPr>
        <w:t>或全幅偏移超</w:t>
      </w:r>
      <w:r w:rsidRPr="002210DB">
        <w:rPr>
          <w:rFonts w:eastAsia="標楷體" w:hint="eastAsia"/>
          <w:sz w:val="28"/>
        </w:rPr>
        <w:lastRenderedPageBreak/>
        <w:t>過</w:t>
      </w:r>
      <w:r w:rsidR="00626097" w:rsidRPr="00D634C5">
        <w:rPr>
          <w:rFonts w:eastAsia="標楷體" w:hint="eastAsia"/>
          <w:sz w:val="28"/>
        </w:rPr>
        <w:t>全幅</w:t>
      </w:r>
      <w:r w:rsidRPr="00D634C5">
        <w:rPr>
          <w:rFonts w:eastAsia="標楷體" w:hint="eastAsia"/>
          <w:sz w:val="28"/>
        </w:rPr>
        <w:t>之</w:t>
      </w:r>
      <w:r w:rsidRPr="002210DB">
        <w:rPr>
          <w:rFonts w:eastAsia="標楷體" w:hint="eastAsia"/>
          <w:sz w:val="28"/>
        </w:rPr>
        <w:t xml:space="preserve"> </w:t>
      </w:r>
      <w:r w:rsidRPr="002210DB">
        <w:rPr>
          <w:rFonts w:eastAsia="標楷體" w:hint="eastAsia"/>
          <w:sz w:val="28"/>
        </w:rPr>
        <w:t>±</w:t>
      </w:r>
      <w:r w:rsidR="003F3D8C">
        <w:rPr>
          <w:rFonts w:eastAsia="標楷體" w:hint="eastAsia"/>
          <w:sz w:val="28"/>
        </w:rPr>
        <w:t>2.0</w:t>
      </w:r>
      <w:r w:rsidRPr="002210DB">
        <w:rPr>
          <w:rFonts w:eastAsia="標楷體" w:hint="eastAsia"/>
          <w:sz w:val="28"/>
        </w:rPr>
        <w:t>%</w:t>
      </w:r>
      <w:r w:rsidRPr="002210DB">
        <w:rPr>
          <w:rFonts w:eastAsia="標楷體" w:hint="eastAsia"/>
          <w:sz w:val="28"/>
        </w:rPr>
        <w:t>，須重新校正。</w:t>
      </w:r>
    </w:p>
    <w:p w:rsidR="002210DB" w:rsidRDefault="002210DB" w:rsidP="002210DB">
      <w:pPr>
        <w:spacing w:before="120" w:after="120" w:line="240" w:lineRule="auto"/>
        <w:ind w:left="1498" w:hanging="217"/>
        <w:jc w:val="both"/>
        <w:rPr>
          <w:rFonts w:eastAsia="標楷體"/>
          <w:sz w:val="28"/>
        </w:rPr>
      </w:pPr>
      <w:r>
        <w:rPr>
          <w:rFonts w:eastAsia="標楷體" w:hint="eastAsia"/>
          <w:sz w:val="28"/>
        </w:rPr>
        <w:t>3</w:t>
      </w:r>
      <w:r w:rsidRPr="000F5115">
        <w:rPr>
          <w:rFonts w:eastAsia="標楷體" w:hint="eastAsia"/>
          <w:sz w:val="28"/>
        </w:rPr>
        <w:t>.</w:t>
      </w:r>
      <w:r w:rsidRPr="002210DB">
        <w:rPr>
          <w:rFonts w:eastAsia="標楷體" w:hint="eastAsia"/>
          <w:sz w:val="28"/>
        </w:rPr>
        <w:t>進行樣品氣體採樣分析。</w:t>
      </w:r>
    </w:p>
    <w:p w:rsidR="002210DB" w:rsidRPr="00D634C5" w:rsidRDefault="002210DB" w:rsidP="00D75C51">
      <w:pPr>
        <w:spacing w:before="120" w:after="120" w:line="240" w:lineRule="auto"/>
        <w:ind w:left="1498" w:hanging="217"/>
        <w:jc w:val="both"/>
        <w:rPr>
          <w:rFonts w:eastAsia="標楷體" w:hint="eastAsia"/>
          <w:sz w:val="28"/>
        </w:rPr>
      </w:pPr>
      <w:r w:rsidRPr="00D634C5">
        <w:rPr>
          <w:rFonts w:eastAsia="標楷體" w:hint="eastAsia"/>
          <w:sz w:val="28"/>
        </w:rPr>
        <w:t>4.</w:t>
      </w:r>
      <w:r w:rsidR="00C232AA" w:rsidRPr="00D634C5">
        <w:rPr>
          <w:rFonts w:eastAsia="標楷體" w:hint="eastAsia"/>
          <w:sz w:val="28"/>
        </w:rPr>
        <w:t>樣品氣體濃度未介於全幅之</w:t>
      </w:r>
      <w:r w:rsidR="003F3D8C">
        <w:rPr>
          <w:rFonts w:eastAsia="標楷體" w:hint="eastAsia"/>
          <w:sz w:val="28"/>
        </w:rPr>
        <w:t xml:space="preserve"> 20% ~ 100</w:t>
      </w:r>
      <w:r w:rsidR="00C232AA" w:rsidRPr="00D634C5">
        <w:rPr>
          <w:rFonts w:eastAsia="標楷體" w:hint="eastAsia"/>
          <w:sz w:val="28"/>
        </w:rPr>
        <w:t xml:space="preserve">% </w:t>
      </w:r>
      <w:r w:rsidR="00C232AA" w:rsidRPr="00D634C5">
        <w:rPr>
          <w:rFonts w:eastAsia="標楷體" w:hint="eastAsia"/>
          <w:sz w:val="28"/>
        </w:rPr>
        <w:t>之間，則須使用實驗室另製備之檢量線，以符合樣品氣體濃度介於全幅之</w:t>
      </w:r>
      <w:r w:rsidR="003F3D8C">
        <w:rPr>
          <w:rFonts w:eastAsia="標楷體" w:hint="eastAsia"/>
          <w:sz w:val="28"/>
        </w:rPr>
        <w:t xml:space="preserve"> 20% ~ 100</w:t>
      </w:r>
      <w:r w:rsidR="00C232AA" w:rsidRPr="00D634C5">
        <w:rPr>
          <w:rFonts w:eastAsia="標楷體" w:hint="eastAsia"/>
          <w:sz w:val="28"/>
        </w:rPr>
        <w:t xml:space="preserve">% </w:t>
      </w:r>
      <w:r w:rsidR="00C232AA" w:rsidRPr="00D634C5">
        <w:rPr>
          <w:rFonts w:eastAsia="標楷體" w:hint="eastAsia"/>
          <w:sz w:val="28"/>
        </w:rPr>
        <w:t>之間，並於監測樣品完成後，以該檢量線中間濃度（約全幅之</w:t>
      </w:r>
      <w:r w:rsidR="003F3D8C">
        <w:rPr>
          <w:rFonts w:eastAsia="標楷體" w:hint="eastAsia"/>
          <w:sz w:val="28"/>
        </w:rPr>
        <w:t>50</w:t>
      </w:r>
      <w:r w:rsidR="00C232AA" w:rsidRPr="00D634C5">
        <w:rPr>
          <w:rFonts w:eastAsia="標楷體" w:hint="eastAsia"/>
          <w:sz w:val="28"/>
        </w:rPr>
        <w:t>%</w:t>
      </w:r>
      <w:r w:rsidR="00C232AA" w:rsidRPr="00D634C5">
        <w:rPr>
          <w:rFonts w:eastAsia="標楷體" w:hint="eastAsia"/>
          <w:sz w:val="28"/>
        </w:rPr>
        <w:t>）執行查核，其偏移須小於全幅之</w:t>
      </w:r>
      <w:r w:rsidR="00C232AA" w:rsidRPr="00D634C5">
        <w:rPr>
          <w:rFonts w:eastAsia="標楷體" w:hint="eastAsia"/>
          <w:sz w:val="28"/>
        </w:rPr>
        <w:t xml:space="preserve"> </w:t>
      </w:r>
      <w:r w:rsidR="00C232AA" w:rsidRPr="00D634C5">
        <w:rPr>
          <w:rFonts w:eastAsia="標楷體" w:hint="eastAsia"/>
          <w:sz w:val="28"/>
        </w:rPr>
        <w:t>±</w:t>
      </w:r>
      <w:r w:rsidR="00C232AA" w:rsidRPr="00D634C5">
        <w:rPr>
          <w:rFonts w:eastAsia="標楷體"/>
          <w:sz w:val="28"/>
        </w:rPr>
        <w:t>2.0</w:t>
      </w:r>
      <w:r w:rsidR="00C232AA" w:rsidRPr="00D634C5">
        <w:rPr>
          <w:rFonts w:eastAsia="標楷體" w:hint="eastAsia"/>
          <w:sz w:val="28"/>
        </w:rPr>
        <w:t>%</w:t>
      </w:r>
      <w:r w:rsidR="00C232AA" w:rsidRPr="00D634C5">
        <w:rPr>
          <w:rFonts w:eastAsia="標楷體" w:hint="eastAsia"/>
          <w:sz w:val="28"/>
        </w:rPr>
        <w:t>。</w:t>
      </w:r>
    </w:p>
    <w:p w:rsidR="002210DB" w:rsidRPr="001C4D5A" w:rsidRDefault="002210DB" w:rsidP="007C7BA7">
      <w:pPr>
        <w:spacing w:before="120" w:after="120" w:line="240" w:lineRule="auto"/>
        <w:ind w:left="1259" w:hanging="839"/>
        <w:jc w:val="both"/>
        <w:rPr>
          <w:rFonts w:eastAsia="標楷體"/>
          <w:sz w:val="28"/>
        </w:rPr>
      </w:pPr>
      <w:r>
        <w:rPr>
          <w:rFonts w:eastAsia="標楷體"/>
          <w:sz w:val="28"/>
        </w:rPr>
        <w:t>（</w:t>
      </w:r>
      <w:r w:rsidR="007C7BA7">
        <w:rPr>
          <w:rFonts w:eastAsia="標楷體" w:hint="eastAsia"/>
          <w:sz w:val="28"/>
        </w:rPr>
        <w:t>二</w:t>
      </w:r>
      <w:r>
        <w:rPr>
          <w:rFonts w:eastAsia="標楷體"/>
          <w:sz w:val="28"/>
        </w:rPr>
        <w:t>）</w:t>
      </w:r>
      <w:r>
        <w:rPr>
          <w:rFonts w:eastAsia="標楷體" w:hint="eastAsia"/>
          <w:sz w:val="28"/>
        </w:rPr>
        <w:t>校正步驟</w:t>
      </w:r>
    </w:p>
    <w:p w:rsidR="002210DB" w:rsidRDefault="002210DB" w:rsidP="002210DB">
      <w:pPr>
        <w:spacing w:before="120" w:after="120" w:line="240" w:lineRule="auto"/>
        <w:ind w:left="1498" w:hanging="217"/>
        <w:jc w:val="both"/>
        <w:rPr>
          <w:rFonts w:eastAsia="標楷體"/>
          <w:sz w:val="28"/>
        </w:rPr>
      </w:pPr>
      <w:r w:rsidRPr="002210DB">
        <w:rPr>
          <w:rFonts w:eastAsia="標楷體" w:hint="eastAsia"/>
          <w:sz w:val="28"/>
        </w:rPr>
        <w:t>校正一氧化碳自動分析儀的方法有二：</w:t>
      </w:r>
    </w:p>
    <w:p w:rsidR="00195830" w:rsidRPr="00195830" w:rsidRDefault="00195830" w:rsidP="00195830">
      <w:pPr>
        <w:spacing w:before="120" w:after="120" w:line="240" w:lineRule="auto"/>
        <w:ind w:left="1498" w:hanging="217"/>
        <w:jc w:val="both"/>
        <w:rPr>
          <w:rFonts w:eastAsia="標楷體"/>
          <w:sz w:val="28"/>
          <w:u w:val="single"/>
        </w:rPr>
      </w:pPr>
      <w:r>
        <w:rPr>
          <w:rFonts w:eastAsia="標楷體" w:hint="eastAsia"/>
          <w:sz w:val="28"/>
        </w:rPr>
        <w:t>1</w:t>
      </w:r>
      <w:r w:rsidRPr="000F5115">
        <w:rPr>
          <w:rFonts w:eastAsia="標楷體" w:hint="eastAsia"/>
          <w:sz w:val="28"/>
        </w:rPr>
        <w:t>.</w:t>
      </w:r>
      <w:r w:rsidRPr="00195830">
        <w:rPr>
          <w:rFonts w:eastAsia="標楷體" w:hint="eastAsia"/>
          <w:sz w:val="28"/>
        </w:rPr>
        <w:t>動態氣體稀釋法（</w:t>
      </w:r>
      <w:r w:rsidRPr="00195830">
        <w:rPr>
          <w:rFonts w:eastAsia="標楷體" w:hint="eastAsia"/>
          <w:sz w:val="28"/>
        </w:rPr>
        <w:t>Dynamic dilution method</w:t>
      </w:r>
      <w:r w:rsidRPr="00195830">
        <w:rPr>
          <w:rFonts w:eastAsia="標楷體" w:hint="eastAsia"/>
          <w:sz w:val="28"/>
        </w:rPr>
        <w:t>）</w:t>
      </w:r>
      <w:r w:rsidR="00D241C4">
        <w:rPr>
          <w:rFonts w:ascii="標楷體" w:eastAsia="標楷體" w:hAnsi="標楷體" w:hint="eastAsia"/>
          <w:sz w:val="28"/>
        </w:rPr>
        <w:t>：</w:t>
      </w:r>
      <w:r w:rsidRPr="00195830">
        <w:rPr>
          <w:rFonts w:eastAsia="標楷體" w:hint="eastAsia"/>
          <w:sz w:val="28"/>
        </w:rPr>
        <w:t>使用高濃度一氧化碳鋼瓶氣體，經稀釋成各種所需的濃度</w:t>
      </w:r>
      <w:r w:rsidRPr="00D634C5">
        <w:rPr>
          <w:rFonts w:eastAsia="標楷體" w:hint="eastAsia"/>
          <w:sz w:val="28"/>
        </w:rPr>
        <w:t>。</w:t>
      </w:r>
    </w:p>
    <w:p w:rsidR="00195830" w:rsidRDefault="00195830" w:rsidP="00195830">
      <w:pPr>
        <w:spacing w:before="120" w:after="120" w:line="240" w:lineRule="auto"/>
        <w:ind w:left="1498" w:hanging="217"/>
        <w:jc w:val="both"/>
        <w:rPr>
          <w:rFonts w:eastAsia="標楷體"/>
          <w:sz w:val="28"/>
        </w:rPr>
      </w:pPr>
      <w:r>
        <w:rPr>
          <w:rFonts w:eastAsia="標楷體" w:hint="eastAsia"/>
          <w:sz w:val="28"/>
        </w:rPr>
        <w:t>2</w:t>
      </w:r>
      <w:r w:rsidRPr="000F5115">
        <w:rPr>
          <w:rFonts w:eastAsia="標楷體" w:hint="eastAsia"/>
          <w:sz w:val="28"/>
        </w:rPr>
        <w:t>.</w:t>
      </w:r>
      <w:r w:rsidRPr="00195830">
        <w:rPr>
          <w:rFonts w:eastAsia="標楷體" w:hint="eastAsia"/>
          <w:sz w:val="28"/>
        </w:rPr>
        <w:t>多鋼瓶氣體法（</w:t>
      </w:r>
      <w:r w:rsidRPr="00195830">
        <w:rPr>
          <w:rFonts w:eastAsia="標楷體" w:hint="eastAsia"/>
          <w:sz w:val="28"/>
        </w:rPr>
        <w:t>Multiple cylinder method</w:t>
      </w:r>
      <w:r w:rsidRPr="00195830">
        <w:rPr>
          <w:rFonts w:eastAsia="標楷體" w:hint="eastAsia"/>
          <w:sz w:val="28"/>
        </w:rPr>
        <w:t>）</w:t>
      </w:r>
      <w:r w:rsidR="00D241C4">
        <w:rPr>
          <w:rFonts w:ascii="標楷體" w:eastAsia="標楷體" w:hAnsi="標楷體" w:hint="eastAsia"/>
          <w:sz w:val="28"/>
        </w:rPr>
        <w:t>：</w:t>
      </w:r>
      <w:r w:rsidRPr="00195830">
        <w:rPr>
          <w:rFonts w:eastAsia="標楷體" w:hint="eastAsia"/>
          <w:sz w:val="28"/>
        </w:rPr>
        <w:t>使用多個標準濃度的一氧化碳鋼瓶氣體。</w:t>
      </w:r>
    </w:p>
    <w:p w:rsidR="002210DB" w:rsidRPr="00713262" w:rsidRDefault="00713262" w:rsidP="00713262">
      <w:pPr>
        <w:adjustRightInd/>
        <w:spacing w:before="120" w:after="120" w:line="400" w:lineRule="exact"/>
        <w:ind w:leftChars="550" w:left="1320"/>
        <w:jc w:val="both"/>
        <w:textAlignment w:val="auto"/>
        <w:rPr>
          <w:rFonts w:eastAsia="標楷體" w:hint="eastAsia"/>
          <w:kern w:val="2"/>
          <w:sz w:val="28"/>
          <w:szCs w:val="24"/>
        </w:rPr>
      </w:pPr>
      <w:r>
        <w:rPr>
          <w:rFonts w:ascii="標楷體" w:eastAsia="標楷體" w:hAnsi="標楷體" w:hint="eastAsia"/>
          <w:kern w:val="2"/>
          <w:sz w:val="28"/>
          <w:szCs w:val="24"/>
        </w:rPr>
        <w:t>（1）</w:t>
      </w:r>
      <w:r w:rsidRPr="00713262">
        <w:rPr>
          <w:rFonts w:eastAsia="標楷體"/>
          <w:kern w:val="2"/>
          <w:sz w:val="28"/>
          <w:szCs w:val="24"/>
        </w:rPr>
        <w:t>動態氣體稀釋法的校正步驟</w:t>
      </w:r>
    </w:p>
    <w:p w:rsidR="003D6619" w:rsidRPr="001C4D5A" w:rsidRDefault="009712FA">
      <w:pPr>
        <w:spacing w:before="120" w:after="120" w:line="240" w:lineRule="auto"/>
        <w:ind w:left="2313" w:hanging="272"/>
        <w:jc w:val="both"/>
        <w:rPr>
          <w:rFonts w:eastAsia="標楷體"/>
          <w:sz w:val="28"/>
        </w:rPr>
      </w:pPr>
      <w:r w:rsidRPr="001C4D5A">
        <w:rPr>
          <w:rFonts w:eastAsia="標楷體"/>
          <w:sz w:val="28"/>
        </w:rPr>
        <w:t>A</w:t>
      </w:r>
      <w:r w:rsidR="003D6619" w:rsidRPr="001C4D5A">
        <w:rPr>
          <w:rFonts w:eastAsia="標楷體"/>
          <w:sz w:val="28"/>
        </w:rPr>
        <w:t>.</w:t>
      </w:r>
      <w:r w:rsidR="00713262" w:rsidRPr="00713262">
        <w:rPr>
          <w:rFonts w:eastAsia="標楷體" w:hint="eastAsia"/>
          <w:sz w:val="28"/>
        </w:rPr>
        <w:t>組合如圖二的校正系統。</w:t>
      </w:r>
    </w:p>
    <w:p w:rsidR="003D6619" w:rsidRPr="001C4D5A" w:rsidRDefault="009712FA">
      <w:pPr>
        <w:spacing w:before="120" w:after="120" w:line="240" w:lineRule="auto"/>
        <w:ind w:left="2313" w:hanging="272"/>
        <w:jc w:val="both"/>
        <w:rPr>
          <w:rFonts w:eastAsia="標楷體"/>
          <w:sz w:val="28"/>
        </w:rPr>
      </w:pPr>
      <w:r w:rsidRPr="001C4D5A">
        <w:rPr>
          <w:rFonts w:eastAsia="標楷體"/>
          <w:sz w:val="28"/>
        </w:rPr>
        <w:t>B</w:t>
      </w:r>
      <w:r w:rsidR="003D6619" w:rsidRPr="001C4D5A">
        <w:rPr>
          <w:rFonts w:eastAsia="標楷體"/>
          <w:sz w:val="28"/>
        </w:rPr>
        <w:t>.</w:t>
      </w:r>
      <w:r w:rsidR="00713262" w:rsidRPr="00713262">
        <w:rPr>
          <w:rFonts w:eastAsia="標楷體" w:hint="eastAsia"/>
          <w:sz w:val="28"/>
        </w:rPr>
        <w:t>確定所有流量計已經校正，且已換算成</w:t>
      </w:r>
      <w:r w:rsidR="00713262" w:rsidRPr="00D634C5">
        <w:rPr>
          <w:rFonts w:eastAsia="標楷體" w:hint="eastAsia"/>
          <w:sz w:val="28"/>
        </w:rPr>
        <w:t>0</w:t>
      </w:r>
      <w:r w:rsidR="00713262" w:rsidRPr="00713262">
        <w:rPr>
          <w:rFonts w:eastAsia="標楷體" w:hint="eastAsia"/>
          <w:sz w:val="28"/>
        </w:rPr>
        <w:t>℃，</w:t>
      </w:r>
      <w:r w:rsidR="00D634C5">
        <w:rPr>
          <w:rFonts w:eastAsia="標楷體" w:hint="eastAsia"/>
          <w:sz w:val="28"/>
        </w:rPr>
        <w:t xml:space="preserve"> </w:t>
      </w:r>
      <w:r w:rsidR="00713262" w:rsidRPr="00713262">
        <w:rPr>
          <w:rFonts w:eastAsia="標楷體" w:hint="eastAsia"/>
          <w:sz w:val="28"/>
        </w:rPr>
        <w:t>760mmHg</w:t>
      </w:r>
      <w:r w:rsidR="00713262" w:rsidRPr="00713262">
        <w:rPr>
          <w:rFonts w:eastAsia="標楷體" w:hint="eastAsia"/>
          <w:sz w:val="28"/>
        </w:rPr>
        <w:t>的標準狀況下。</w:t>
      </w:r>
    </w:p>
    <w:p w:rsidR="003D6619" w:rsidRPr="001C4D5A" w:rsidRDefault="009712FA">
      <w:pPr>
        <w:spacing w:before="120" w:after="120" w:line="240" w:lineRule="auto"/>
        <w:ind w:left="2313" w:hanging="272"/>
        <w:jc w:val="both"/>
        <w:rPr>
          <w:rFonts w:eastAsia="標楷體"/>
          <w:sz w:val="28"/>
        </w:rPr>
      </w:pPr>
      <w:r w:rsidRPr="001C4D5A">
        <w:rPr>
          <w:rFonts w:eastAsia="標楷體"/>
          <w:sz w:val="28"/>
        </w:rPr>
        <w:t>C</w:t>
      </w:r>
      <w:r w:rsidR="003D6619" w:rsidRPr="001C4D5A">
        <w:rPr>
          <w:rFonts w:eastAsia="標楷體"/>
          <w:sz w:val="28"/>
        </w:rPr>
        <w:t>.</w:t>
      </w:r>
      <w:r w:rsidR="00713262" w:rsidRPr="00713262">
        <w:rPr>
          <w:rFonts w:eastAsia="標楷體" w:hint="eastAsia"/>
          <w:sz w:val="28"/>
        </w:rPr>
        <w:t>設定一氧化碳自動分析儀的校正範圍，應與一般操作範圍相同。</w:t>
      </w:r>
    </w:p>
    <w:p w:rsidR="003D6619" w:rsidRPr="001C4D5A" w:rsidRDefault="009712FA">
      <w:pPr>
        <w:spacing w:before="120" w:after="120" w:line="240" w:lineRule="auto"/>
        <w:ind w:left="2313" w:hanging="272"/>
        <w:jc w:val="both"/>
        <w:rPr>
          <w:rFonts w:eastAsia="標楷體"/>
          <w:sz w:val="28"/>
        </w:rPr>
      </w:pPr>
      <w:r w:rsidRPr="001C4D5A">
        <w:rPr>
          <w:rFonts w:eastAsia="標楷體"/>
          <w:sz w:val="28"/>
        </w:rPr>
        <w:t>D</w:t>
      </w:r>
      <w:r w:rsidR="003D6619" w:rsidRPr="001C4D5A">
        <w:rPr>
          <w:rFonts w:eastAsia="標楷體"/>
          <w:sz w:val="28"/>
        </w:rPr>
        <w:t>.</w:t>
      </w:r>
      <w:r w:rsidR="00713262" w:rsidRPr="00713262">
        <w:rPr>
          <w:rFonts w:eastAsia="標楷體" w:hint="eastAsia"/>
          <w:sz w:val="28"/>
        </w:rPr>
        <w:t>連接分析儀與紀錄器。</w:t>
      </w:r>
    </w:p>
    <w:p w:rsidR="003D6619" w:rsidRPr="001C4D5A" w:rsidRDefault="009712FA">
      <w:pPr>
        <w:spacing w:before="120" w:after="120" w:line="240" w:lineRule="auto"/>
        <w:ind w:left="2313" w:hanging="272"/>
        <w:jc w:val="both"/>
        <w:rPr>
          <w:rFonts w:eastAsia="標楷體"/>
          <w:sz w:val="28"/>
        </w:rPr>
      </w:pPr>
      <w:r w:rsidRPr="001C4D5A">
        <w:rPr>
          <w:rFonts w:eastAsia="標楷體"/>
          <w:sz w:val="28"/>
        </w:rPr>
        <w:t>E</w:t>
      </w:r>
      <w:r w:rsidR="003D6619" w:rsidRPr="001C4D5A">
        <w:rPr>
          <w:rFonts w:eastAsia="標楷體"/>
          <w:sz w:val="28"/>
        </w:rPr>
        <w:t>.</w:t>
      </w:r>
      <w:r w:rsidR="00713262" w:rsidRPr="00713262">
        <w:rPr>
          <w:rFonts w:eastAsia="標楷體" w:hint="eastAsia"/>
          <w:sz w:val="28"/>
        </w:rPr>
        <w:t>調整零點標準氣流控制閥（總氣體流量必須大於分析儀所需總氣體流量，以確保外界空氣不被吸入），以得足夠的流量輸入分析儀。通入該氣體直到分析儀出現穩定的讀數，然後調整分析儀零點控制鈕，以獲得紀錄器</w:t>
      </w:r>
      <w:r w:rsidR="00713262" w:rsidRPr="00713262">
        <w:rPr>
          <w:rFonts w:eastAsia="標楷體" w:hint="eastAsia"/>
          <w:sz w:val="28"/>
        </w:rPr>
        <w:t xml:space="preserve"> 5</w:t>
      </w:r>
      <w:r w:rsidR="00CD5ACC" w:rsidRPr="00CD5ACC">
        <w:rPr>
          <w:rFonts w:eastAsia="標楷體"/>
          <w:sz w:val="28"/>
        </w:rPr>
        <w:t>%</w:t>
      </w:r>
      <w:r w:rsidR="00713262" w:rsidRPr="00713262">
        <w:rPr>
          <w:rFonts w:eastAsia="標楷體" w:hint="eastAsia"/>
          <w:sz w:val="28"/>
        </w:rPr>
        <w:t xml:space="preserve"> </w:t>
      </w:r>
      <w:r w:rsidR="00713262" w:rsidRPr="00713262">
        <w:rPr>
          <w:rFonts w:eastAsia="標楷體" w:hint="eastAsia"/>
          <w:sz w:val="28"/>
        </w:rPr>
        <w:t>補償的訊號（若全刻度為</w:t>
      </w:r>
      <w:r w:rsidR="00713262" w:rsidRPr="00713262">
        <w:rPr>
          <w:rFonts w:eastAsia="標楷體" w:hint="eastAsia"/>
          <w:sz w:val="28"/>
        </w:rPr>
        <w:t xml:space="preserve"> 100 </w:t>
      </w:r>
      <w:r w:rsidR="00713262" w:rsidRPr="00713262">
        <w:rPr>
          <w:rFonts w:eastAsia="標楷體" w:hint="eastAsia"/>
          <w:sz w:val="28"/>
        </w:rPr>
        <w:t>，則零點訊號出現在刻度</w:t>
      </w:r>
      <w:r w:rsidR="00713262" w:rsidRPr="00713262">
        <w:rPr>
          <w:rFonts w:eastAsia="標楷體" w:hint="eastAsia"/>
          <w:sz w:val="28"/>
        </w:rPr>
        <w:t xml:space="preserve"> 5 </w:t>
      </w:r>
      <w:r w:rsidR="00713262" w:rsidRPr="00713262">
        <w:rPr>
          <w:rFonts w:eastAsia="標楷體" w:hint="eastAsia"/>
          <w:sz w:val="28"/>
        </w:rPr>
        <w:t>的地方），記錄該讀數為零點背景讀數：</w:t>
      </w:r>
      <w:r w:rsidR="00713262" w:rsidRPr="00713262">
        <w:rPr>
          <w:rFonts w:eastAsia="標楷體" w:hint="eastAsia"/>
          <w:sz w:val="28"/>
        </w:rPr>
        <w:t>Z</w:t>
      </w:r>
      <w:r w:rsidR="00713262" w:rsidRPr="007C7BA7">
        <w:rPr>
          <w:rFonts w:eastAsia="標楷體" w:hint="eastAsia"/>
          <w:sz w:val="28"/>
          <w:vertAlign w:val="subscript"/>
        </w:rPr>
        <w:t>CO</w:t>
      </w:r>
      <w:r w:rsidR="00713262" w:rsidRPr="00713262">
        <w:rPr>
          <w:rFonts w:eastAsia="標楷體" w:hint="eastAsia"/>
          <w:sz w:val="28"/>
        </w:rPr>
        <w:t>。</w:t>
      </w:r>
    </w:p>
    <w:p w:rsidR="003D6619" w:rsidRPr="001C4D5A" w:rsidRDefault="009712FA">
      <w:pPr>
        <w:spacing w:before="120" w:after="120" w:line="240" w:lineRule="auto"/>
        <w:ind w:left="2313" w:hanging="272"/>
        <w:jc w:val="both"/>
        <w:rPr>
          <w:rFonts w:eastAsia="標楷體"/>
          <w:sz w:val="28"/>
        </w:rPr>
      </w:pPr>
      <w:r w:rsidRPr="001C4D5A">
        <w:rPr>
          <w:rFonts w:eastAsia="標楷體"/>
          <w:sz w:val="28"/>
        </w:rPr>
        <w:t>F</w:t>
      </w:r>
      <w:r w:rsidR="003D6619" w:rsidRPr="001C4D5A">
        <w:rPr>
          <w:rFonts w:eastAsia="標楷體"/>
          <w:sz w:val="28"/>
        </w:rPr>
        <w:t>.</w:t>
      </w:r>
      <w:r w:rsidR="00713262" w:rsidRPr="00713262">
        <w:rPr>
          <w:rFonts w:eastAsia="標楷體" w:hint="eastAsia"/>
          <w:sz w:val="28"/>
        </w:rPr>
        <w:t>調整零點標準氣體及來自一氧化碳鋼瓶氣體的流量，以產生校正所需上限濃度</w:t>
      </w:r>
      <w:r w:rsidR="003F3D8C">
        <w:rPr>
          <w:rFonts w:eastAsia="標楷體" w:hint="eastAsia"/>
          <w:sz w:val="28"/>
        </w:rPr>
        <w:t xml:space="preserve"> 80</w:t>
      </w:r>
      <w:r w:rsidR="00CD5ACC" w:rsidRPr="00CD5ACC">
        <w:rPr>
          <w:rFonts w:eastAsia="標楷體"/>
          <w:sz w:val="28"/>
        </w:rPr>
        <w:t>%</w:t>
      </w:r>
      <w:r w:rsidR="00713262" w:rsidRPr="00713262">
        <w:rPr>
          <w:rFonts w:eastAsia="標楷體" w:hint="eastAsia"/>
          <w:sz w:val="28"/>
        </w:rPr>
        <w:t xml:space="preserve"> </w:t>
      </w:r>
      <w:r w:rsidR="00713262" w:rsidRPr="00713262">
        <w:rPr>
          <w:rFonts w:eastAsia="標楷體" w:hint="eastAsia"/>
          <w:sz w:val="28"/>
        </w:rPr>
        <w:t>的氣體，其確實濃度依下式計算：</w:t>
      </w:r>
    </w:p>
    <w:p w:rsidR="003D6619" w:rsidRDefault="00713262">
      <w:pPr>
        <w:spacing w:before="120" w:after="120" w:line="240" w:lineRule="auto"/>
        <w:ind w:left="1680" w:hanging="720"/>
        <w:jc w:val="center"/>
        <w:rPr>
          <w:rFonts w:eastAsia="標楷體"/>
          <w:sz w:val="28"/>
        </w:rPr>
      </w:pPr>
      <w:r>
        <w:rPr>
          <w:rFonts w:eastAsia="標楷體"/>
          <w:position w:val="-30"/>
          <w:sz w:val="28"/>
        </w:rPr>
        <w:object w:dxaOrig="320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75pt;height:35.25pt" o:ole="">
            <v:imagedata r:id="rId8" o:title=""/>
          </v:shape>
          <o:OLEObject Type="Embed" ProgID="Equation.3" ShapeID="_x0000_i1025" DrawAspect="Content" ObjectID="_1513584048" r:id="rId9"/>
        </w:object>
      </w:r>
    </w:p>
    <w:p w:rsidR="00713262" w:rsidRPr="00713262" w:rsidRDefault="00713262" w:rsidP="00713262">
      <w:pPr>
        <w:adjustRightInd/>
        <w:spacing w:before="120" w:after="40" w:line="400" w:lineRule="exact"/>
        <w:ind w:firstLineChars="800" w:firstLine="2240"/>
        <w:jc w:val="both"/>
        <w:textAlignment w:val="auto"/>
        <w:rPr>
          <w:rFonts w:eastAsia="標楷體" w:hint="eastAsia"/>
          <w:kern w:val="2"/>
          <w:sz w:val="28"/>
          <w:szCs w:val="24"/>
        </w:rPr>
      </w:pPr>
      <w:r w:rsidRPr="00713262">
        <w:rPr>
          <w:rFonts w:eastAsia="標楷體" w:hint="eastAsia"/>
          <w:kern w:val="2"/>
          <w:sz w:val="28"/>
          <w:szCs w:val="24"/>
        </w:rPr>
        <w:t>[CO]</w:t>
      </w:r>
      <w:r w:rsidRPr="00713262">
        <w:rPr>
          <w:rFonts w:eastAsia="標楷體" w:hint="eastAsia"/>
          <w:kern w:val="2"/>
          <w:sz w:val="28"/>
          <w:szCs w:val="24"/>
          <w:vertAlign w:val="subscript"/>
        </w:rPr>
        <w:t>OUT</w:t>
      </w:r>
      <w:r w:rsidRPr="00713262">
        <w:rPr>
          <w:rFonts w:eastAsia="標楷體" w:hint="eastAsia"/>
          <w:kern w:val="2"/>
          <w:sz w:val="28"/>
          <w:szCs w:val="24"/>
        </w:rPr>
        <w:t>：歧管出口</w:t>
      </w:r>
      <w:r w:rsidRPr="00713262">
        <w:rPr>
          <w:rFonts w:eastAsia="標楷體"/>
          <w:kern w:val="2"/>
          <w:sz w:val="28"/>
          <w:szCs w:val="24"/>
        </w:rPr>
        <w:t>之已稀釋的一氧化碳濃度，</w:t>
      </w:r>
      <w:r w:rsidRPr="00713262">
        <w:rPr>
          <w:rFonts w:eastAsia="標楷體"/>
          <w:kern w:val="2"/>
          <w:sz w:val="28"/>
          <w:szCs w:val="24"/>
        </w:rPr>
        <w:t xml:space="preserve"> ppm</w:t>
      </w:r>
    </w:p>
    <w:p w:rsidR="00713262" w:rsidRPr="00713262" w:rsidRDefault="00713262" w:rsidP="00713262">
      <w:pPr>
        <w:adjustRightInd/>
        <w:spacing w:before="120" w:after="40" w:line="400" w:lineRule="exact"/>
        <w:ind w:leftChars="934" w:left="3362" w:hangingChars="400" w:hanging="1120"/>
        <w:jc w:val="both"/>
        <w:textAlignment w:val="auto"/>
        <w:rPr>
          <w:rFonts w:eastAsia="標楷體" w:hint="eastAsia"/>
          <w:kern w:val="2"/>
          <w:sz w:val="28"/>
          <w:szCs w:val="24"/>
        </w:rPr>
      </w:pPr>
      <w:r w:rsidRPr="00713262">
        <w:rPr>
          <w:rFonts w:eastAsia="標楷體" w:hint="eastAsia"/>
          <w:kern w:val="2"/>
          <w:sz w:val="28"/>
          <w:szCs w:val="24"/>
        </w:rPr>
        <w:t>[CO]</w:t>
      </w:r>
      <w:r w:rsidRPr="00713262">
        <w:rPr>
          <w:rFonts w:eastAsia="標楷體" w:hint="eastAsia"/>
          <w:kern w:val="2"/>
          <w:sz w:val="28"/>
          <w:szCs w:val="24"/>
          <w:vertAlign w:val="subscript"/>
        </w:rPr>
        <w:t>STD</w:t>
      </w:r>
      <w:r w:rsidRPr="00713262">
        <w:rPr>
          <w:rFonts w:eastAsia="標楷體" w:hint="eastAsia"/>
          <w:kern w:val="2"/>
          <w:sz w:val="28"/>
          <w:szCs w:val="24"/>
        </w:rPr>
        <w:t>：</w:t>
      </w:r>
      <w:r w:rsidRPr="00713262">
        <w:rPr>
          <w:rFonts w:eastAsia="標楷體"/>
          <w:kern w:val="2"/>
          <w:sz w:val="28"/>
          <w:szCs w:val="24"/>
        </w:rPr>
        <w:t>來自鋼瓶氣體之未稀釋的一氧化碳濃度，</w:t>
      </w:r>
      <w:r w:rsidRPr="00713262">
        <w:rPr>
          <w:rFonts w:eastAsia="標楷體"/>
          <w:kern w:val="2"/>
          <w:sz w:val="28"/>
          <w:szCs w:val="24"/>
        </w:rPr>
        <w:t xml:space="preserve"> ppm</w:t>
      </w:r>
    </w:p>
    <w:p w:rsidR="00713262" w:rsidRPr="00713262" w:rsidRDefault="00713262" w:rsidP="00713262">
      <w:pPr>
        <w:adjustRightInd/>
        <w:spacing w:before="120" w:after="40" w:line="400" w:lineRule="exact"/>
        <w:ind w:firstLineChars="800" w:firstLine="2240"/>
        <w:jc w:val="both"/>
        <w:textAlignment w:val="auto"/>
        <w:rPr>
          <w:rFonts w:eastAsia="標楷體" w:hint="eastAsia"/>
          <w:kern w:val="2"/>
          <w:sz w:val="28"/>
          <w:szCs w:val="24"/>
        </w:rPr>
      </w:pPr>
      <w:r w:rsidRPr="00713262">
        <w:rPr>
          <w:rFonts w:eastAsia="標楷體" w:hint="eastAsia"/>
          <w:kern w:val="2"/>
          <w:sz w:val="28"/>
          <w:szCs w:val="24"/>
        </w:rPr>
        <w:t>F</w:t>
      </w:r>
      <w:r w:rsidRPr="00713262">
        <w:rPr>
          <w:rFonts w:eastAsia="標楷體" w:hint="eastAsia"/>
          <w:kern w:val="2"/>
          <w:sz w:val="28"/>
          <w:szCs w:val="24"/>
          <w:vertAlign w:val="subscript"/>
        </w:rPr>
        <w:t>CO</w:t>
      </w:r>
      <w:r w:rsidRPr="00713262">
        <w:rPr>
          <w:rFonts w:eastAsia="標楷體"/>
          <w:kern w:val="2"/>
          <w:sz w:val="28"/>
          <w:szCs w:val="24"/>
        </w:rPr>
        <w:t>：未稀釋的一氧化碳流量，</w:t>
      </w:r>
      <w:r w:rsidRPr="00713262">
        <w:rPr>
          <w:rFonts w:eastAsia="標楷體"/>
          <w:kern w:val="2"/>
          <w:sz w:val="28"/>
          <w:szCs w:val="24"/>
        </w:rPr>
        <w:t>L</w:t>
      </w:r>
      <w:r w:rsidRPr="00713262">
        <w:rPr>
          <w:rFonts w:eastAsia="標楷體"/>
          <w:kern w:val="2"/>
          <w:sz w:val="28"/>
          <w:szCs w:val="24"/>
        </w:rPr>
        <w:t>／</w:t>
      </w:r>
      <w:r w:rsidRPr="00713262">
        <w:rPr>
          <w:rFonts w:eastAsia="標楷體"/>
          <w:kern w:val="2"/>
          <w:sz w:val="28"/>
          <w:szCs w:val="24"/>
        </w:rPr>
        <w:t>min</w:t>
      </w:r>
    </w:p>
    <w:p w:rsidR="00713262" w:rsidRPr="00713262" w:rsidRDefault="001A1FBA" w:rsidP="00713262">
      <w:pPr>
        <w:adjustRightInd/>
        <w:spacing w:before="120" w:after="40" w:line="400" w:lineRule="exact"/>
        <w:ind w:leftChars="934" w:left="2242"/>
        <w:jc w:val="both"/>
        <w:textAlignment w:val="auto"/>
        <w:rPr>
          <w:rFonts w:eastAsia="標楷體" w:hint="eastAsia"/>
          <w:kern w:val="2"/>
          <w:sz w:val="28"/>
          <w:szCs w:val="24"/>
        </w:rPr>
      </w:pPr>
      <w:r w:rsidRPr="00713262">
        <w:rPr>
          <w:rFonts w:eastAsia="標楷體"/>
          <w:noProof/>
          <w:kern w:val="2"/>
          <w:sz w:val="28"/>
          <w:szCs w:val="24"/>
        </w:rPr>
        <w:pict>
          <v:shape id="_x0000_s1042" type="#_x0000_t75" style="position:absolute;left:0;text-align:left;margin-left:193.4pt;margin-top:67.25pt;width:138.85pt;height:33.25pt;z-index:251656192">
            <v:imagedata r:id="rId10" o:title=""/>
          </v:shape>
          <o:OLEObject Type="Embed" ProgID="Equation.3" ShapeID="_x0000_s1042" DrawAspect="Content" ObjectID="_1513584049" r:id="rId11"/>
        </w:pict>
      </w:r>
      <w:r w:rsidR="00713262" w:rsidRPr="00713262">
        <w:rPr>
          <w:rFonts w:eastAsia="標楷體" w:hint="eastAsia"/>
          <w:kern w:val="2"/>
          <w:sz w:val="28"/>
          <w:szCs w:val="24"/>
        </w:rPr>
        <w:t>F</w:t>
      </w:r>
      <w:r w:rsidR="00713262" w:rsidRPr="00713262">
        <w:rPr>
          <w:rFonts w:eastAsia="標楷體" w:hint="eastAsia"/>
          <w:kern w:val="2"/>
          <w:sz w:val="28"/>
          <w:szCs w:val="24"/>
          <w:vertAlign w:val="subscript"/>
        </w:rPr>
        <w:t>D</w:t>
      </w:r>
      <w:r w:rsidR="00713262" w:rsidRPr="00713262">
        <w:rPr>
          <w:rFonts w:eastAsia="標楷體" w:hint="eastAsia"/>
          <w:kern w:val="2"/>
          <w:sz w:val="28"/>
          <w:szCs w:val="24"/>
        </w:rPr>
        <w:t>：</w:t>
      </w:r>
      <w:r w:rsidR="00713262" w:rsidRPr="00713262">
        <w:rPr>
          <w:rFonts w:eastAsia="標楷體"/>
          <w:kern w:val="2"/>
          <w:sz w:val="28"/>
          <w:szCs w:val="24"/>
        </w:rPr>
        <w:t>稀釋用的零點標準氣體流量，</w:t>
      </w:r>
      <w:r w:rsidR="00713262" w:rsidRPr="00713262">
        <w:rPr>
          <w:rFonts w:eastAsia="標楷體"/>
          <w:kern w:val="2"/>
          <w:sz w:val="28"/>
          <w:szCs w:val="24"/>
        </w:rPr>
        <w:t>L</w:t>
      </w:r>
      <w:r w:rsidR="00713262" w:rsidRPr="00713262">
        <w:rPr>
          <w:rFonts w:eastAsia="標楷體"/>
          <w:kern w:val="2"/>
          <w:sz w:val="28"/>
          <w:szCs w:val="24"/>
        </w:rPr>
        <w:t>／</w:t>
      </w:r>
      <w:r w:rsidR="00713262" w:rsidRPr="00713262">
        <w:rPr>
          <w:rFonts w:eastAsia="標楷體"/>
          <w:kern w:val="2"/>
          <w:sz w:val="28"/>
          <w:szCs w:val="24"/>
        </w:rPr>
        <w:t xml:space="preserve">min </w:t>
      </w:r>
      <w:r w:rsidR="00713262" w:rsidRPr="00713262">
        <w:rPr>
          <w:rFonts w:eastAsia="標楷體"/>
          <w:kern w:val="2"/>
          <w:sz w:val="28"/>
          <w:szCs w:val="24"/>
        </w:rPr>
        <w:t>輸入該氣體直到分析儀出現穩定的讀數，然後調整全幅控制鈕，以獲得如下之紀錄器應答：</w:t>
      </w:r>
    </w:p>
    <w:p w:rsidR="00713262" w:rsidRPr="00713262" w:rsidRDefault="00713262" w:rsidP="00713262">
      <w:pPr>
        <w:adjustRightInd/>
        <w:spacing w:before="120" w:after="40" w:line="400" w:lineRule="exact"/>
        <w:ind w:firstLineChars="800" w:firstLine="2240"/>
        <w:jc w:val="both"/>
        <w:textAlignment w:val="auto"/>
        <w:rPr>
          <w:rFonts w:eastAsia="標楷體" w:hint="eastAsia"/>
          <w:kern w:val="2"/>
          <w:sz w:val="28"/>
          <w:szCs w:val="24"/>
        </w:rPr>
      </w:pPr>
      <w:r w:rsidRPr="00713262">
        <w:rPr>
          <w:rFonts w:eastAsia="標楷體" w:hint="eastAsia"/>
          <w:kern w:val="2"/>
          <w:sz w:val="28"/>
          <w:szCs w:val="24"/>
        </w:rPr>
        <w:t>紀錄器應答</w:t>
      </w:r>
      <w:r w:rsidRPr="00713262">
        <w:rPr>
          <w:rFonts w:eastAsia="標楷體" w:hint="eastAsia"/>
          <w:kern w:val="2"/>
          <w:sz w:val="28"/>
          <w:szCs w:val="24"/>
        </w:rPr>
        <w:t>=</w:t>
      </w:r>
    </w:p>
    <w:p w:rsidR="00713262" w:rsidRPr="00713262" w:rsidRDefault="00713262" w:rsidP="00713262">
      <w:pPr>
        <w:adjustRightInd/>
        <w:spacing w:before="120" w:after="40" w:line="400" w:lineRule="exact"/>
        <w:ind w:firstLineChars="800" w:firstLine="2240"/>
        <w:jc w:val="both"/>
        <w:textAlignment w:val="auto"/>
        <w:rPr>
          <w:rFonts w:eastAsia="標楷體" w:hint="eastAsia"/>
          <w:kern w:val="2"/>
          <w:sz w:val="28"/>
          <w:szCs w:val="24"/>
        </w:rPr>
      </w:pPr>
      <w:r w:rsidRPr="00713262">
        <w:rPr>
          <w:rFonts w:eastAsia="標楷體"/>
          <w:kern w:val="2"/>
          <w:sz w:val="28"/>
          <w:szCs w:val="24"/>
        </w:rPr>
        <w:t>其中，</w:t>
      </w:r>
      <w:r w:rsidRPr="00713262">
        <w:rPr>
          <w:rFonts w:eastAsia="標楷體"/>
          <w:kern w:val="2"/>
          <w:sz w:val="28"/>
          <w:szCs w:val="24"/>
        </w:rPr>
        <w:t>URL</w:t>
      </w:r>
      <w:r w:rsidRPr="00713262">
        <w:rPr>
          <w:rFonts w:eastAsia="標楷體"/>
          <w:kern w:val="2"/>
          <w:sz w:val="28"/>
          <w:szCs w:val="24"/>
        </w:rPr>
        <w:t>＝校正設定之上限濃度（</w:t>
      </w:r>
      <w:r w:rsidRPr="00713262">
        <w:rPr>
          <w:rFonts w:eastAsia="標楷體"/>
          <w:kern w:val="2"/>
          <w:sz w:val="28"/>
          <w:szCs w:val="24"/>
        </w:rPr>
        <w:t>ppm</w:t>
      </w:r>
      <w:r w:rsidRPr="00713262">
        <w:rPr>
          <w:rFonts w:eastAsia="標楷體"/>
          <w:kern w:val="2"/>
          <w:sz w:val="28"/>
          <w:szCs w:val="24"/>
        </w:rPr>
        <w:t>）</w:t>
      </w:r>
    </w:p>
    <w:p w:rsidR="00713262" w:rsidRPr="00713262" w:rsidRDefault="00713262" w:rsidP="00713262">
      <w:pPr>
        <w:adjustRightInd/>
        <w:spacing w:before="120" w:after="40" w:line="400" w:lineRule="exact"/>
        <w:ind w:firstLineChars="800" w:firstLine="2240"/>
        <w:jc w:val="both"/>
        <w:textAlignment w:val="auto"/>
        <w:rPr>
          <w:rFonts w:eastAsia="標楷體" w:hint="eastAsia"/>
          <w:kern w:val="2"/>
          <w:sz w:val="28"/>
          <w:szCs w:val="24"/>
        </w:rPr>
      </w:pPr>
      <w:r w:rsidRPr="00713262">
        <w:rPr>
          <w:rFonts w:eastAsia="標楷體" w:hint="eastAsia"/>
          <w:kern w:val="2"/>
          <w:sz w:val="28"/>
          <w:szCs w:val="24"/>
        </w:rPr>
        <w:t>Z</w:t>
      </w:r>
      <w:r w:rsidRPr="00713262">
        <w:rPr>
          <w:rFonts w:eastAsia="標楷體" w:hint="eastAsia"/>
          <w:kern w:val="2"/>
          <w:sz w:val="28"/>
          <w:szCs w:val="24"/>
          <w:vertAlign w:val="subscript"/>
        </w:rPr>
        <w:t>CO</w:t>
      </w:r>
      <w:r w:rsidRPr="00713262">
        <w:rPr>
          <w:rFonts w:eastAsia="標楷體" w:hint="eastAsia"/>
          <w:kern w:val="2"/>
          <w:sz w:val="28"/>
          <w:szCs w:val="24"/>
        </w:rPr>
        <w:t>=</w:t>
      </w:r>
      <w:r w:rsidRPr="00713262">
        <w:rPr>
          <w:rFonts w:eastAsia="標楷體" w:hint="eastAsia"/>
          <w:kern w:val="2"/>
          <w:sz w:val="28"/>
          <w:szCs w:val="24"/>
        </w:rPr>
        <w:t>分析儀對</w:t>
      </w:r>
      <w:r w:rsidRPr="00713262">
        <w:rPr>
          <w:rFonts w:eastAsia="標楷體"/>
          <w:kern w:val="2"/>
          <w:sz w:val="28"/>
          <w:szCs w:val="24"/>
        </w:rPr>
        <w:t>零點標準氣體</w:t>
      </w:r>
      <w:r w:rsidRPr="00713262">
        <w:rPr>
          <w:rFonts w:eastAsia="標楷體" w:hint="eastAsia"/>
          <w:kern w:val="2"/>
          <w:sz w:val="28"/>
          <w:szCs w:val="24"/>
        </w:rPr>
        <w:t>之反應，</w:t>
      </w:r>
      <w:r w:rsidRPr="00713262">
        <w:rPr>
          <w:rFonts w:eastAsia="標楷體" w:hint="eastAsia"/>
          <w:kern w:val="2"/>
          <w:sz w:val="28"/>
          <w:szCs w:val="24"/>
        </w:rPr>
        <w:t>%</w:t>
      </w:r>
    </w:p>
    <w:p w:rsidR="00713262" w:rsidRDefault="00713262" w:rsidP="00713262">
      <w:pPr>
        <w:adjustRightInd/>
        <w:spacing w:before="120" w:after="40" w:line="400" w:lineRule="exact"/>
        <w:ind w:leftChars="934" w:left="2242"/>
        <w:jc w:val="both"/>
        <w:textAlignment w:val="auto"/>
        <w:rPr>
          <w:rFonts w:eastAsia="標楷體"/>
          <w:kern w:val="2"/>
          <w:sz w:val="28"/>
          <w:szCs w:val="24"/>
        </w:rPr>
      </w:pPr>
      <w:r w:rsidRPr="00713262">
        <w:rPr>
          <w:rFonts w:eastAsia="標楷體"/>
          <w:kern w:val="2"/>
          <w:sz w:val="28"/>
          <w:szCs w:val="24"/>
        </w:rPr>
        <w:t>若全幅調整超過</w:t>
      </w:r>
      <w:r w:rsidRPr="00713262">
        <w:rPr>
          <w:rFonts w:eastAsia="標楷體" w:hint="eastAsia"/>
          <w:kern w:val="2"/>
          <w:sz w:val="28"/>
          <w:szCs w:val="24"/>
        </w:rPr>
        <w:t xml:space="preserve"> </w:t>
      </w:r>
      <w:r w:rsidRPr="00713262">
        <w:rPr>
          <w:rFonts w:eastAsia="標楷體" w:hint="eastAsia"/>
          <w:kern w:val="2"/>
          <w:sz w:val="28"/>
          <w:szCs w:val="24"/>
        </w:rPr>
        <w:t>±</w:t>
      </w:r>
      <w:r w:rsidR="003F3D8C">
        <w:rPr>
          <w:rFonts w:eastAsia="標楷體" w:hint="eastAsia"/>
          <w:kern w:val="2"/>
          <w:sz w:val="28"/>
          <w:szCs w:val="24"/>
        </w:rPr>
        <w:t>2.0</w:t>
      </w:r>
      <w:r w:rsidRPr="00713262">
        <w:rPr>
          <w:rFonts w:eastAsia="標楷體" w:hint="eastAsia"/>
          <w:kern w:val="2"/>
          <w:sz w:val="28"/>
          <w:szCs w:val="24"/>
        </w:rPr>
        <w:t>%</w:t>
      </w:r>
      <w:r w:rsidR="007C7BA7">
        <w:rPr>
          <w:rFonts w:eastAsia="標楷體"/>
          <w:kern w:val="2"/>
          <w:sz w:val="28"/>
          <w:szCs w:val="24"/>
        </w:rPr>
        <w:t xml:space="preserve"> </w:t>
      </w:r>
      <w:r w:rsidRPr="00713262">
        <w:rPr>
          <w:rFonts w:eastAsia="標楷體"/>
          <w:kern w:val="2"/>
          <w:sz w:val="28"/>
          <w:szCs w:val="24"/>
        </w:rPr>
        <w:t>，應重覆步驟</w:t>
      </w:r>
      <w:r w:rsidRPr="00713262">
        <w:rPr>
          <w:rFonts w:eastAsia="標楷體" w:hint="eastAsia"/>
          <w:kern w:val="2"/>
          <w:sz w:val="28"/>
          <w:szCs w:val="24"/>
        </w:rPr>
        <w:t>e</w:t>
      </w:r>
      <w:r w:rsidRPr="00713262">
        <w:rPr>
          <w:rFonts w:eastAsia="標楷體"/>
          <w:kern w:val="2"/>
          <w:sz w:val="28"/>
          <w:szCs w:val="24"/>
        </w:rPr>
        <w:t>～</w:t>
      </w:r>
      <w:r w:rsidRPr="00713262">
        <w:rPr>
          <w:rFonts w:eastAsia="標楷體"/>
          <w:kern w:val="2"/>
          <w:sz w:val="28"/>
          <w:szCs w:val="24"/>
        </w:rPr>
        <w:t>g</w:t>
      </w:r>
      <w:r w:rsidRPr="00713262">
        <w:rPr>
          <w:rFonts w:eastAsia="標楷體" w:hint="eastAsia"/>
          <w:kern w:val="2"/>
          <w:sz w:val="28"/>
          <w:szCs w:val="24"/>
        </w:rPr>
        <w:t xml:space="preserve"> </w:t>
      </w:r>
      <w:r w:rsidRPr="00713262">
        <w:rPr>
          <w:rFonts w:eastAsia="標楷體"/>
          <w:kern w:val="2"/>
          <w:sz w:val="28"/>
          <w:szCs w:val="24"/>
        </w:rPr>
        <w:t xml:space="preserve">, </w:t>
      </w:r>
      <w:r w:rsidRPr="00713262">
        <w:rPr>
          <w:rFonts w:eastAsia="標楷體"/>
          <w:kern w:val="2"/>
          <w:sz w:val="28"/>
          <w:szCs w:val="24"/>
        </w:rPr>
        <w:t>直至零點、全幅不須再調整為止。記錄該一氧化碳確實濃度及分析儀應答。</w:t>
      </w:r>
    </w:p>
    <w:p w:rsidR="00713262" w:rsidRDefault="00713262" w:rsidP="007C7BA7">
      <w:pPr>
        <w:adjustRightInd/>
        <w:spacing w:before="120" w:after="40" w:line="400" w:lineRule="exact"/>
        <w:ind w:leftChars="934" w:left="2382" w:hangingChars="50" w:hanging="140"/>
        <w:jc w:val="both"/>
        <w:textAlignment w:val="auto"/>
        <w:rPr>
          <w:rFonts w:eastAsia="標楷體"/>
          <w:kern w:val="2"/>
          <w:sz w:val="28"/>
          <w:szCs w:val="24"/>
        </w:rPr>
      </w:pPr>
      <w:r>
        <w:rPr>
          <w:rFonts w:eastAsia="標楷體" w:hint="eastAsia"/>
          <w:kern w:val="2"/>
          <w:sz w:val="28"/>
          <w:szCs w:val="24"/>
        </w:rPr>
        <w:t>G</w:t>
      </w:r>
      <w:r w:rsidRPr="00713262">
        <w:rPr>
          <w:rFonts w:eastAsia="標楷體" w:hint="eastAsia"/>
          <w:kern w:val="2"/>
          <w:sz w:val="28"/>
          <w:szCs w:val="24"/>
        </w:rPr>
        <w:t>.</w:t>
      </w:r>
      <w:r w:rsidRPr="00713262">
        <w:rPr>
          <w:rFonts w:eastAsia="標楷體" w:hint="eastAsia"/>
          <w:kern w:val="2"/>
          <w:sz w:val="28"/>
          <w:szCs w:val="24"/>
        </w:rPr>
        <w:t>減小</w:t>
      </w:r>
      <w:r w:rsidRPr="00713262">
        <w:rPr>
          <w:rFonts w:eastAsia="標楷體" w:hint="eastAsia"/>
          <w:kern w:val="2"/>
          <w:sz w:val="28"/>
          <w:szCs w:val="24"/>
        </w:rPr>
        <w:t>FCO</w:t>
      </w:r>
      <w:r w:rsidRPr="00713262">
        <w:rPr>
          <w:rFonts w:eastAsia="標楷體" w:hint="eastAsia"/>
          <w:kern w:val="2"/>
          <w:sz w:val="28"/>
          <w:szCs w:val="24"/>
        </w:rPr>
        <w:t>或加大</w:t>
      </w:r>
      <w:r w:rsidRPr="00713262">
        <w:rPr>
          <w:rFonts w:eastAsia="標楷體" w:hint="eastAsia"/>
          <w:kern w:val="2"/>
          <w:sz w:val="28"/>
          <w:szCs w:val="24"/>
        </w:rPr>
        <w:t>FD</w:t>
      </w:r>
      <w:r w:rsidRPr="00713262">
        <w:rPr>
          <w:rFonts w:eastAsia="標楷體" w:hint="eastAsia"/>
          <w:kern w:val="2"/>
          <w:sz w:val="28"/>
          <w:szCs w:val="24"/>
        </w:rPr>
        <w:t>以產生全幅之</w:t>
      </w:r>
      <w:r w:rsidR="00D634C5">
        <w:rPr>
          <w:rFonts w:eastAsia="標楷體" w:hint="eastAsia"/>
          <w:kern w:val="2"/>
          <w:sz w:val="28"/>
          <w:szCs w:val="24"/>
        </w:rPr>
        <w:t xml:space="preserve"> 0</w:t>
      </w:r>
      <w:r w:rsidRPr="00713262">
        <w:rPr>
          <w:rFonts w:eastAsia="標楷體" w:hint="eastAsia"/>
          <w:kern w:val="2"/>
          <w:sz w:val="28"/>
          <w:szCs w:val="24"/>
        </w:rPr>
        <w:t>%</w:t>
      </w:r>
      <w:r w:rsidR="007C7BA7">
        <w:rPr>
          <w:rFonts w:eastAsia="標楷體"/>
          <w:kern w:val="2"/>
          <w:sz w:val="28"/>
          <w:szCs w:val="24"/>
        </w:rPr>
        <w:t xml:space="preserve"> </w:t>
      </w:r>
      <w:r w:rsidRPr="00713262">
        <w:rPr>
          <w:rFonts w:eastAsia="標楷體" w:hint="eastAsia"/>
          <w:kern w:val="2"/>
          <w:sz w:val="28"/>
          <w:szCs w:val="24"/>
        </w:rPr>
        <w:t>、</w:t>
      </w:r>
      <w:r w:rsidR="007C7BA7">
        <w:rPr>
          <w:rFonts w:eastAsia="標楷體" w:hint="eastAsia"/>
          <w:kern w:val="2"/>
          <w:sz w:val="28"/>
          <w:szCs w:val="24"/>
        </w:rPr>
        <w:t xml:space="preserve"> </w:t>
      </w:r>
      <w:r w:rsidR="00D634C5">
        <w:rPr>
          <w:rFonts w:eastAsia="標楷體" w:hint="eastAsia"/>
          <w:kern w:val="2"/>
          <w:sz w:val="28"/>
          <w:szCs w:val="24"/>
        </w:rPr>
        <w:t>20</w:t>
      </w:r>
      <w:r w:rsidRPr="00713262">
        <w:rPr>
          <w:rFonts w:eastAsia="標楷體" w:hint="eastAsia"/>
          <w:kern w:val="2"/>
          <w:sz w:val="28"/>
          <w:szCs w:val="24"/>
        </w:rPr>
        <w:t>%</w:t>
      </w:r>
      <w:r w:rsidR="007C7BA7">
        <w:rPr>
          <w:rFonts w:eastAsia="標楷體"/>
          <w:kern w:val="2"/>
          <w:sz w:val="28"/>
          <w:szCs w:val="24"/>
        </w:rPr>
        <w:t xml:space="preserve"> </w:t>
      </w:r>
      <w:r w:rsidRPr="00713262">
        <w:rPr>
          <w:rFonts w:eastAsia="標楷體" w:hint="eastAsia"/>
          <w:kern w:val="2"/>
          <w:sz w:val="28"/>
          <w:szCs w:val="24"/>
        </w:rPr>
        <w:t>、</w:t>
      </w:r>
      <w:r w:rsidR="00D634C5">
        <w:rPr>
          <w:rFonts w:eastAsia="標楷體" w:hint="eastAsia"/>
          <w:kern w:val="2"/>
          <w:sz w:val="28"/>
          <w:szCs w:val="24"/>
        </w:rPr>
        <w:t>40</w:t>
      </w:r>
      <w:r w:rsidRPr="00713262">
        <w:rPr>
          <w:rFonts w:eastAsia="標楷體" w:hint="eastAsia"/>
          <w:kern w:val="2"/>
          <w:sz w:val="28"/>
          <w:szCs w:val="24"/>
        </w:rPr>
        <w:t>%</w:t>
      </w:r>
      <w:r w:rsidR="007C7BA7">
        <w:rPr>
          <w:rFonts w:eastAsia="標楷體"/>
          <w:kern w:val="2"/>
          <w:sz w:val="28"/>
          <w:szCs w:val="24"/>
        </w:rPr>
        <w:t xml:space="preserve"> </w:t>
      </w:r>
      <w:r w:rsidRPr="00713262">
        <w:rPr>
          <w:rFonts w:eastAsia="標楷體" w:hint="eastAsia"/>
          <w:kern w:val="2"/>
          <w:sz w:val="28"/>
          <w:szCs w:val="24"/>
        </w:rPr>
        <w:t>、</w:t>
      </w:r>
      <w:r w:rsidR="007C7BA7">
        <w:rPr>
          <w:rFonts w:eastAsia="標楷體" w:hint="eastAsia"/>
          <w:kern w:val="2"/>
          <w:sz w:val="28"/>
          <w:szCs w:val="24"/>
        </w:rPr>
        <w:t xml:space="preserve"> </w:t>
      </w:r>
      <w:r w:rsidR="00D634C5">
        <w:rPr>
          <w:rFonts w:eastAsia="標楷體" w:hint="eastAsia"/>
          <w:kern w:val="2"/>
          <w:sz w:val="28"/>
          <w:szCs w:val="24"/>
        </w:rPr>
        <w:t>60</w:t>
      </w:r>
      <w:r w:rsidRPr="00713262">
        <w:rPr>
          <w:rFonts w:eastAsia="標楷體" w:hint="eastAsia"/>
          <w:kern w:val="2"/>
          <w:sz w:val="28"/>
          <w:szCs w:val="24"/>
        </w:rPr>
        <w:t>%</w:t>
      </w:r>
      <w:r w:rsidR="007C7BA7">
        <w:rPr>
          <w:rFonts w:eastAsia="標楷體"/>
          <w:kern w:val="2"/>
          <w:sz w:val="28"/>
          <w:szCs w:val="24"/>
        </w:rPr>
        <w:t xml:space="preserve"> </w:t>
      </w:r>
      <w:r w:rsidRPr="00713262">
        <w:rPr>
          <w:rFonts w:eastAsia="標楷體" w:hint="eastAsia"/>
          <w:kern w:val="2"/>
          <w:sz w:val="28"/>
          <w:szCs w:val="24"/>
        </w:rPr>
        <w:t>、</w:t>
      </w:r>
      <w:r w:rsidR="007C7BA7">
        <w:rPr>
          <w:rFonts w:eastAsia="標楷體" w:hint="eastAsia"/>
          <w:kern w:val="2"/>
          <w:sz w:val="28"/>
          <w:szCs w:val="24"/>
        </w:rPr>
        <w:t xml:space="preserve"> </w:t>
      </w:r>
      <w:r w:rsidR="00D634C5">
        <w:rPr>
          <w:rFonts w:eastAsia="標楷體" w:hint="eastAsia"/>
          <w:kern w:val="2"/>
          <w:sz w:val="28"/>
          <w:szCs w:val="24"/>
        </w:rPr>
        <w:t>80</w:t>
      </w:r>
      <w:r w:rsidRPr="00713262">
        <w:rPr>
          <w:rFonts w:eastAsia="標楷體" w:hint="eastAsia"/>
          <w:kern w:val="2"/>
          <w:sz w:val="28"/>
          <w:szCs w:val="24"/>
        </w:rPr>
        <w:t>%</w:t>
      </w:r>
      <w:r w:rsidR="007C7BA7">
        <w:rPr>
          <w:rFonts w:eastAsia="標楷體"/>
          <w:kern w:val="2"/>
          <w:sz w:val="28"/>
          <w:szCs w:val="24"/>
        </w:rPr>
        <w:t xml:space="preserve"> </w:t>
      </w:r>
      <w:r w:rsidRPr="00D634C5">
        <w:rPr>
          <w:rFonts w:eastAsia="標楷體" w:hint="eastAsia"/>
          <w:kern w:val="2"/>
          <w:sz w:val="28"/>
          <w:szCs w:val="24"/>
        </w:rPr>
        <w:t>、</w:t>
      </w:r>
      <w:r w:rsidR="007C7BA7" w:rsidRPr="00D634C5">
        <w:rPr>
          <w:rFonts w:eastAsia="標楷體" w:hint="eastAsia"/>
          <w:kern w:val="2"/>
          <w:sz w:val="28"/>
          <w:szCs w:val="24"/>
        </w:rPr>
        <w:t xml:space="preserve"> </w:t>
      </w:r>
      <w:r w:rsidR="00D634C5">
        <w:rPr>
          <w:rFonts w:eastAsia="標楷體" w:hint="eastAsia"/>
          <w:kern w:val="2"/>
          <w:sz w:val="28"/>
          <w:szCs w:val="24"/>
        </w:rPr>
        <w:t>100</w:t>
      </w:r>
      <w:r w:rsidRPr="00D634C5">
        <w:rPr>
          <w:rFonts w:eastAsia="標楷體" w:hint="eastAsia"/>
          <w:kern w:val="2"/>
          <w:sz w:val="28"/>
          <w:szCs w:val="24"/>
        </w:rPr>
        <w:t>%</w:t>
      </w:r>
      <w:r w:rsidR="00D634C5" w:rsidRPr="00D634C5">
        <w:rPr>
          <w:rFonts w:eastAsia="標楷體"/>
          <w:color w:val="FF0000"/>
          <w:kern w:val="2"/>
          <w:sz w:val="28"/>
          <w:szCs w:val="24"/>
        </w:rPr>
        <w:t xml:space="preserve"> </w:t>
      </w:r>
      <w:r w:rsidRPr="00713262">
        <w:rPr>
          <w:rFonts w:eastAsia="標楷體" w:hint="eastAsia"/>
          <w:kern w:val="2"/>
          <w:sz w:val="28"/>
          <w:szCs w:val="24"/>
        </w:rPr>
        <w:t>等</w:t>
      </w:r>
      <w:r w:rsidRPr="00D634C5">
        <w:rPr>
          <w:rFonts w:eastAsia="標楷體" w:hint="eastAsia"/>
          <w:kern w:val="2"/>
          <w:sz w:val="28"/>
          <w:szCs w:val="24"/>
        </w:rPr>
        <w:t>六</w:t>
      </w:r>
      <w:r w:rsidRPr="00713262">
        <w:rPr>
          <w:rFonts w:eastAsia="標楷體" w:hint="eastAsia"/>
          <w:kern w:val="2"/>
          <w:sz w:val="28"/>
          <w:szCs w:val="24"/>
        </w:rPr>
        <w:t>種不同濃度之校正氣體，根據計算式（</w:t>
      </w:r>
      <w:r w:rsidRPr="00713262">
        <w:rPr>
          <w:rFonts w:eastAsia="標楷體" w:hint="eastAsia"/>
          <w:kern w:val="2"/>
          <w:sz w:val="28"/>
          <w:szCs w:val="24"/>
        </w:rPr>
        <w:t>1</w:t>
      </w:r>
      <w:r w:rsidRPr="00713262">
        <w:rPr>
          <w:rFonts w:eastAsia="標楷體" w:hint="eastAsia"/>
          <w:kern w:val="2"/>
          <w:sz w:val="28"/>
          <w:szCs w:val="24"/>
        </w:rPr>
        <w:t>）計算其確實濃度，並記錄分析儀之應答。繪製輸入的一氧化碳確實濃度與分析儀</w:t>
      </w:r>
      <w:r w:rsidRPr="00713262">
        <w:rPr>
          <w:rFonts w:eastAsia="標楷體" w:hint="eastAsia"/>
          <w:kern w:val="2"/>
          <w:sz w:val="28"/>
          <w:szCs w:val="24"/>
        </w:rPr>
        <w:t>(</w:t>
      </w:r>
      <w:r w:rsidRPr="00713262">
        <w:rPr>
          <w:rFonts w:eastAsia="標楷體" w:hint="eastAsia"/>
          <w:kern w:val="2"/>
          <w:sz w:val="28"/>
          <w:szCs w:val="24"/>
        </w:rPr>
        <w:t>或紀錄器</w:t>
      </w:r>
      <w:r w:rsidRPr="00713262">
        <w:rPr>
          <w:rFonts w:eastAsia="標楷體" w:hint="eastAsia"/>
          <w:kern w:val="2"/>
          <w:sz w:val="28"/>
          <w:szCs w:val="24"/>
        </w:rPr>
        <w:t>)</w:t>
      </w:r>
      <w:r w:rsidRPr="00713262">
        <w:rPr>
          <w:rFonts w:eastAsia="標楷體" w:hint="eastAsia"/>
          <w:kern w:val="2"/>
          <w:sz w:val="28"/>
          <w:szCs w:val="24"/>
        </w:rPr>
        <w:t>應答的關係圖</w:t>
      </w:r>
      <w:r w:rsidRPr="00713262">
        <w:rPr>
          <w:rFonts w:eastAsia="標楷體" w:hint="eastAsia"/>
          <w:kern w:val="2"/>
          <w:sz w:val="28"/>
          <w:szCs w:val="24"/>
        </w:rPr>
        <w:t>,</w:t>
      </w:r>
      <w:r w:rsidRPr="00713262">
        <w:rPr>
          <w:rFonts w:eastAsia="標楷體" w:hint="eastAsia"/>
          <w:kern w:val="2"/>
          <w:sz w:val="28"/>
          <w:szCs w:val="24"/>
        </w:rPr>
        <w:t>即為一氧化碳的檢量線。</w:t>
      </w:r>
    </w:p>
    <w:p w:rsidR="00713262" w:rsidRPr="00713262" w:rsidRDefault="00713262" w:rsidP="00713262">
      <w:pPr>
        <w:adjustRightInd/>
        <w:spacing w:before="120" w:after="120" w:line="400" w:lineRule="exact"/>
        <w:ind w:leftChars="550" w:left="1320"/>
        <w:jc w:val="both"/>
        <w:textAlignment w:val="auto"/>
        <w:rPr>
          <w:rFonts w:eastAsia="標楷體" w:hint="eastAsia"/>
          <w:kern w:val="2"/>
          <w:sz w:val="28"/>
          <w:szCs w:val="24"/>
        </w:rPr>
      </w:pPr>
      <w:r>
        <w:rPr>
          <w:rFonts w:ascii="標楷體" w:eastAsia="標楷體" w:hAnsi="標楷體" w:hint="eastAsia"/>
          <w:kern w:val="2"/>
          <w:sz w:val="28"/>
          <w:szCs w:val="24"/>
        </w:rPr>
        <w:t>（2）</w:t>
      </w:r>
      <w:r w:rsidRPr="00713262">
        <w:rPr>
          <w:rFonts w:eastAsia="標楷體" w:hint="eastAsia"/>
          <w:kern w:val="2"/>
          <w:sz w:val="28"/>
          <w:szCs w:val="24"/>
        </w:rPr>
        <w:t>多鋼瓶氣體法</w:t>
      </w:r>
      <w:r w:rsidRPr="00713262">
        <w:rPr>
          <w:rFonts w:eastAsia="標楷體"/>
          <w:kern w:val="2"/>
          <w:sz w:val="28"/>
          <w:szCs w:val="24"/>
        </w:rPr>
        <w:t>的校正步驟</w:t>
      </w:r>
    </w:p>
    <w:p w:rsidR="00713262" w:rsidRPr="001C4D5A" w:rsidRDefault="00713262" w:rsidP="00713262">
      <w:pPr>
        <w:spacing w:before="120" w:after="120" w:line="240" w:lineRule="auto"/>
        <w:ind w:left="2313" w:hanging="272"/>
        <w:jc w:val="both"/>
        <w:rPr>
          <w:rFonts w:eastAsia="標楷體"/>
          <w:sz w:val="28"/>
        </w:rPr>
      </w:pPr>
      <w:r w:rsidRPr="001C4D5A">
        <w:rPr>
          <w:rFonts w:eastAsia="標楷體"/>
          <w:sz w:val="28"/>
        </w:rPr>
        <w:t>A.</w:t>
      </w:r>
      <w:r w:rsidRPr="00713262">
        <w:rPr>
          <w:rFonts w:eastAsia="標楷體" w:hint="eastAsia"/>
          <w:sz w:val="28"/>
        </w:rPr>
        <w:t>裝置如圖三所示的多鋼瓶校正系統。</w:t>
      </w:r>
    </w:p>
    <w:p w:rsidR="00713262" w:rsidRPr="001C4D5A" w:rsidRDefault="00713262" w:rsidP="00713262">
      <w:pPr>
        <w:spacing w:before="120" w:after="120" w:line="240" w:lineRule="auto"/>
        <w:ind w:left="2313" w:hanging="272"/>
        <w:jc w:val="both"/>
        <w:rPr>
          <w:rFonts w:eastAsia="標楷體"/>
          <w:sz w:val="28"/>
        </w:rPr>
      </w:pPr>
      <w:r w:rsidRPr="001C4D5A">
        <w:rPr>
          <w:rFonts w:eastAsia="標楷體"/>
          <w:sz w:val="28"/>
        </w:rPr>
        <w:t>B.</w:t>
      </w:r>
      <w:r w:rsidRPr="00713262">
        <w:rPr>
          <w:rFonts w:eastAsia="標楷體" w:hint="eastAsia"/>
          <w:sz w:val="28"/>
        </w:rPr>
        <w:t>校正用流量計可不經精密校正，只須供給足夠的流量（超過分析儀流量之要求）輸入分析儀即可。</w:t>
      </w:r>
    </w:p>
    <w:p w:rsidR="003D6619" w:rsidRDefault="00713262" w:rsidP="00713262">
      <w:pPr>
        <w:spacing w:before="120" w:after="120" w:line="240" w:lineRule="auto"/>
        <w:ind w:left="2313" w:hanging="272"/>
        <w:jc w:val="both"/>
        <w:rPr>
          <w:rFonts w:eastAsia="標楷體"/>
          <w:sz w:val="28"/>
        </w:rPr>
      </w:pPr>
      <w:r w:rsidRPr="001C4D5A">
        <w:rPr>
          <w:rFonts w:eastAsia="標楷體"/>
          <w:sz w:val="28"/>
        </w:rPr>
        <w:t>C.</w:t>
      </w:r>
      <w:r w:rsidRPr="00713262">
        <w:rPr>
          <w:rFonts w:eastAsia="標楷體" w:hint="eastAsia"/>
          <w:sz w:val="28"/>
        </w:rPr>
        <w:t>分別輸入零點標準氣體及全幅濃度標準氣體，調整分析儀零點及全幅後，再輸入各標準濃度氣體。依輸入之一氧化碳標準濃度及分析儀應答，繪製檢量線</w:t>
      </w:r>
      <w:r w:rsidR="007364A5">
        <w:rPr>
          <w:rFonts w:eastAsia="標楷體" w:hint="eastAsia"/>
          <w:sz w:val="28"/>
        </w:rPr>
        <w:t>。</w:t>
      </w:r>
    </w:p>
    <w:p w:rsidR="00D75C51" w:rsidRPr="001C4D5A" w:rsidRDefault="00D75C51" w:rsidP="00713262">
      <w:pPr>
        <w:spacing w:before="120" w:after="120" w:line="240" w:lineRule="auto"/>
        <w:ind w:left="2313" w:hanging="272"/>
        <w:jc w:val="both"/>
        <w:rPr>
          <w:rFonts w:eastAsia="標楷體" w:hint="eastAsia"/>
          <w:sz w:val="28"/>
        </w:rPr>
      </w:pPr>
    </w:p>
    <w:p w:rsidR="003D6619" w:rsidRDefault="003D6619">
      <w:pPr>
        <w:spacing w:before="120" w:after="120" w:line="240" w:lineRule="auto"/>
        <w:ind w:left="482" w:hanging="482"/>
        <w:jc w:val="both"/>
        <w:rPr>
          <w:rFonts w:eastAsia="標楷體"/>
          <w:sz w:val="28"/>
        </w:rPr>
      </w:pPr>
      <w:r w:rsidRPr="001C4D5A">
        <w:rPr>
          <w:rFonts w:eastAsia="標楷體"/>
          <w:sz w:val="28"/>
        </w:rPr>
        <w:t>八、結果處理</w:t>
      </w:r>
    </w:p>
    <w:p w:rsidR="00713262" w:rsidRPr="00713262" w:rsidRDefault="00713262" w:rsidP="00713262">
      <w:pPr>
        <w:spacing w:before="120" w:after="120" w:line="400" w:lineRule="exact"/>
        <w:ind w:leftChars="234" w:left="562" w:firstLineChars="200" w:firstLine="560"/>
        <w:jc w:val="both"/>
        <w:rPr>
          <w:rFonts w:eastAsia="標楷體" w:hint="eastAsia"/>
          <w:sz w:val="28"/>
        </w:rPr>
      </w:pPr>
      <w:r w:rsidRPr="00713262">
        <w:rPr>
          <w:rFonts w:eastAsia="標楷體" w:hint="eastAsia"/>
          <w:kern w:val="2"/>
          <w:sz w:val="28"/>
          <w:szCs w:val="24"/>
        </w:rPr>
        <w:t>檢測結果以</w:t>
      </w:r>
      <w:r w:rsidRPr="00713262">
        <w:rPr>
          <w:rFonts w:eastAsia="標楷體" w:hint="eastAsia"/>
          <w:kern w:val="2"/>
          <w:sz w:val="28"/>
          <w:szCs w:val="24"/>
        </w:rPr>
        <w:t>ppm</w:t>
      </w:r>
      <w:r w:rsidRPr="00713262">
        <w:rPr>
          <w:rFonts w:eastAsia="標楷體" w:hint="eastAsia"/>
          <w:kern w:val="2"/>
          <w:sz w:val="28"/>
          <w:szCs w:val="24"/>
        </w:rPr>
        <w:t>濃度單位表示。</w:t>
      </w:r>
    </w:p>
    <w:p w:rsidR="003D6619" w:rsidRPr="001C4D5A" w:rsidRDefault="003D6619">
      <w:pPr>
        <w:spacing w:before="120" w:after="120" w:line="240" w:lineRule="auto"/>
        <w:ind w:left="1202" w:hanging="1200"/>
        <w:jc w:val="both"/>
        <w:rPr>
          <w:rFonts w:eastAsia="標楷體"/>
          <w:sz w:val="28"/>
        </w:rPr>
      </w:pPr>
      <w:r w:rsidRPr="001C4D5A">
        <w:rPr>
          <w:rFonts w:eastAsia="標楷體"/>
          <w:sz w:val="28"/>
        </w:rPr>
        <w:t>九、品質管制</w:t>
      </w:r>
    </w:p>
    <w:p w:rsidR="003D6619" w:rsidRDefault="005B693A" w:rsidP="00796FDC">
      <w:pPr>
        <w:spacing w:before="120" w:after="120" w:line="240" w:lineRule="auto"/>
        <w:ind w:left="1157" w:hanging="737"/>
        <w:jc w:val="both"/>
        <w:rPr>
          <w:rFonts w:eastAsia="標楷體"/>
          <w:color w:val="FFC000"/>
          <w:sz w:val="28"/>
        </w:rPr>
      </w:pPr>
      <w:r w:rsidRPr="001C4D5A">
        <w:rPr>
          <w:rFonts w:eastAsia="標楷體"/>
          <w:sz w:val="28"/>
        </w:rPr>
        <w:t>（一）</w:t>
      </w:r>
      <w:r w:rsidR="00DC7E9E" w:rsidRPr="00DC7E9E">
        <w:rPr>
          <w:rFonts w:eastAsia="標楷體" w:hint="eastAsia"/>
          <w:sz w:val="28"/>
        </w:rPr>
        <w:t>校正頻率：當自動分析儀有下列情形之一時，則須進行校正</w:t>
      </w:r>
      <w:r w:rsidR="00DC7E9E" w:rsidRPr="002419E7">
        <w:rPr>
          <w:rFonts w:eastAsia="標楷體" w:hint="eastAsia"/>
          <w:sz w:val="28"/>
        </w:rPr>
        <w:t>。</w:t>
      </w:r>
    </w:p>
    <w:p w:rsidR="00DC7E9E" w:rsidRDefault="00DC7E9E" w:rsidP="00DC7E9E">
      <w:pPr>
        <w:spacing w:before="120" w:after="120" w:line="240" w:lineRule="auto"/>
        <w:ind w:left="1498" w:hanging="217"/>
        <w:jc w:val="both"/>
        <w:rPr>
          <w:rFonts w:eastAsia="標楷體"/>
          <w:sz w:val="28"/>
        </w:rPr>
      </w:pPr>
      <w:r>
        <w:rPr>
          <w:rFonts w:eastAsia="標楷體" w:hint="eastAsia"/>
          <w:sz w:val="28"/>
        </w:rPr>
        <w:t>1</w:t>
      </w:r>
      <w:r w:rsidRPr="000F5115">
        <w:rPr>
          <w:rFonts w:eastAsia="標楷體" w:hint="eastAsia"/>
          <w:sz w:val="28"/>
        </w:rPr>
        <w:t>.</w:t>
      </w:r>
      <w:r w:rsidRPr="00DC7E9E">
        <w:rPr>
          <w:rFonts w:eastAsia="標楷體" w:hint="eastAsia"/>
          <w:sz w:val="28"/>
        </w:rPr>
        <w:t>新裝設的儀器。</w:t>
      </w:r>
    </w:p>
    <w:p w:rsidR="00DC7E9E" w:rsidRDefault="00DC7E9E" w:rsidP="00DC7E9E">
      <w:pPr>
        <w:spacing w:before="120" w:after="120" w:line="240" w:lineRule="auto"/>
        <w:ind w:left="1498" w:hanging="217"/>
        <w:jc w:val="both"/>
        <w:rPr>
          <w:rFonts w:eastAsia="標楷體"/>
          <w:sz w:val="28"/>
        </w:rPr>
      </w:pPr>
      <w:r>
        <w:rPr>
          <w:rFonts w:eastAsia="標楷體" w:hint="eastAsia"/>
          <w:sz w:val="28"/>
        </w:rPr>
        <w:t>2</w:t>
      </w:r>
      <w:r w:rsidRPr="000F5115">
        <w:rPr>
          <w:rFonts w:eastAsia="標楷體" w:hint="eastAsia"/>
          <w:sz w:val="28"/>
        </w:rPr>
        <w:t>.</w:t>
      </w:r>
      <w:r w:rsidRPr="00DC7E9E">
        <w:rPr>
          <w:rFonts w:eastAsia="標楷體" w:hint="eastAsia"/>
          <w:sz w:val="28"/>
        </w:rPr>
        <w:t>儀器主要設備經修護後。</w:t>
      </w:r>
    </w:p>
    <w:p w:rsidR="00DC7E9E" w:rsidRDefault="00DC7E9E" w:rsidP="00DC7E9E">
      <w:pPr>
        <w:spacing w:before="120" w:after="120" w:line="240" w:lineRule="auto"/>
        <w:ind w:left="1498" w:hanging="217"/>
        <w:jc w:val="both"/>
        <w:rPr>
          <w:rFonts w:eastAsia="標楷體"/>
          <w:sz w:val="28"/>
        </w:rPr>
      </w:pPr>
      <w:r>
        <w:rPr>
          <w:rFonts w:eastAsia="標楷體" w:hint="eastAsia"/>
          <w:sz w:val="28"/>
        </w:rPr>
        <w:t>3</w:t>
      </w:r>
      <w:r w:rsidRPr="000F5115">
        <w:rPr>
          <w:rFonts w:eastAsia="標楷體" w:hint="eastAsia"/>
          <w:sz w:val="28"/>
        </w:rPr>
        <w:t>.</w:t>
      </w:r>
      <w:r w:rsidRPr="00DC7E9E">
        <w:rPr>
          <w:rFonts w:eastAsia="標楷體" w:hint="eastAsia"/>
          <w:sz w:val="28"/>
        </w:rPr>
        <w:t>每工作日例行之零點偏移超過</w:t>
      </w:r>
      <w:r w:rsidRPr="00DC7E9E">
        <w:rPr>
          <w:rFonts w:eastAsia="標楷體" w:hint="eastAsia"/>
          <w:sz w:val="28"/>
        </w:rPr>
        <w:t xml:space="preserve"> </w:t>
      </w:r>
      <w:r w:rsidRPr="00DC7E9E">
        <w:rPr>
          <w:rFonts w:eastAsia="標楷體" w:hint="eastAsia"/>
          <w:sz w:val="28"/>
        </w:rPr>
        <w:t>±</w:t>
      </w:r>
      <w:r w:rsidR="003F3D8C">
        <w:rPr>
          <w:rFonts w:eastAsia="標楷體" w:hint="eastAsia"/>
          <w:sz w:val="28"/>
        </w:rPr>
        <w:t>0.5</w:t>
      </w:r>
      <w:r w:rsidRPr="00DC7E9E">
        <w:rPr>
          <w:rFonts w:eastAsia="標楷體" w:hint="eastAsia"/>
          <w:sz w:val="28"/>
        </w:rPr>
        <w:t>ppm</w:t>
      </w:r>
      <w:r w:rsidRPr="00DC7E9E">
        <w:rPr>
          <w:rFonts w:eastAsia="標楷體" w:hint="eastAsia"/>
          <w:sz w:val="28"/>
        </w:rPr>
        <w:t>或全幅偏移超過</w:t>
      </w:r>
      <w:r w:rsidR="00626097" w:rsidRPr="00D634C5">
        <w:rPr>
          <w:rFonts w:eastAsia="標楷體" w:hint="eastAsia"/>
          <w:sz w:val="28"/>
        </w:rPr>
        <w:t>全幅</w:t>
      </w:r>
      <w:r w:rsidRPr="00D634C5">
        <w:rPr>
          <w:rFonts w:eastAsia="標楷體" w:hint="eastAsia"/>
          <w:sz w:val="28"/>
        </w:rPr>
        <w:t>之</w:t>
      </w:r>
      <w:r w:rsidRPr="00DC7E9E">
        <w:rPr>
          <w:rFonts w:eastAsia="標楷體" w:hint="eastAsia"/>
          <w:sz w:val="28"/>
        </w:rPr>
        <w:t xml:space="preserve"> </w:t>
      </w:r>
      <w:r w:rsidRPr="00DC7E9E">
        <w:rPr>
          <w:rFonts w:eastAsia="標楷體" w:hint="eastAsia"/>
          <w:sz w:val="28"/>
        </w:rPr>
        <w:t>±</w:t>
      </w:r>
      <w:r w:rsidRPr="00DC7E9E">
        <w:rPr>
          <w:rFonts w:eastAsia="標楷體" w:hint="eastAsia"/>
          <w:sz w:val="28"/>
        </w:rPr>
        <w:t>2.0%</w:t>
      </w:r>
      <w:r w:rsidRPr="00DC7E9E">
        <w:rPr>
          <w:rFonts w:eastAsia="標楷體" w:hint="eastAsia"/>
          <w:sz w:val="28"/>
        </w:rPr>
        <w:t>。</w:t>
      </w:r>
    </w:p>
    <w:p w:rsidR="00DC7E9E" w:rsidRPr="00DC7E9E" w:rsidRDefault="00DC7E9E" w:rsidP="00DC7E9E">
      <w:pPr>
        <w:spacing w:before="120" w:after="120" w:line="240" w:lineRule="auto"/>
        <w:ind w:left="1498" w:hanging="217"/>
        <w:jc w:val="both"/>
        <w:rPr>
          <w:rFonts w:eastAsia="標楷體" w:hint="eastAsia"/>
          <w:sz w:val="28"/>
        </w:rPr>
      </w:pPr>
      <w:r>
        <w:rPr>
          <w:rFonts w:eastAsia="標楷體" w:hint="eastAsia"/>
          <w:sz w:val="28"/>
        </w:rPr>
        <w:t>4</w:t>
      </w:r>
      <w:r w:rsidRPr="000F5115">
        <w:rPr>
          <w:rFonts w:eastAsia="標楷體" w:hint="eastAsia"/>
          <w:sz w:val="28"/>
        </w:rPr>
        <w:t>.</w:t>
      </w:r>
      <w:r w:rsidRPr="00DC7E9E">
        <w:rPr>
          <w:rFonts w:eastAsia="標楷體" w:hint="eastAsia"/>
          <w:sz w:val="28"/>
        </w:rPr>
        <w:t>每</w:t>
      </w:r>
      <w:r w:rsidRPr="00DC7E9E">
        <w:rPr>
          <w:rFonts w:eastAsia="標楷體" w:hint="eastAsia"/>
          <w:sz w:val="28"/>
        </w:rPr>
        <w:t>6</w:t>
      </w:r>
      <w:r w:rsidRPr="00DC7E9E">
        <w:rPr>
          <w:rFonts w:eastAsia="標楷體" w:hint="eastAsia"/>
          <w:sz w:val="28"/>
        </w:rPr>
        <w:t>個月的定期校正。</w:t>
      </w:r>
    </w:p>
    <w:p w:rsidR="003D6619" w:rsidRPr="001C4D5A" w:rsidRDefault="005B693A" w:rsidP="005B693A">
      <w:pPr>
        <w:spacing w:before="120" w:after="120" w:line="240" w:lineRule="auto"/>
        <w:ind w:left="1320" w:hanging="900"/>
        <w:jc w:val="both"/>
        <w:rPr>
          <w:rFonts w:eastAsia="標楷體"/>
          <w:sz w:val="28"/>
        </w:rPr>
      </w:pPr>
      <w:r w:rsidRPr="001C4D5A">
        <w:rPr>
          <w:rFonts w:eastAsia="標楷體"/>
          <w:sz w:val="28"/>
        </w:rPr>
        <w:t>（二）</w:t>
      </w:r>
      <w:r w:rsidR="00DC7E9E" w:rsidRPr="00DC7E9E">
        <w:rPr>
          <w:rFonts w:eastAsia="標楷體" w:hint="eastAsia"/>
          <w:sz w:val="28"/>
        </w:rPr>
        <w:t>流量準確程度影響測定值，因此流量計須定期校正。</w:t>
      </w:r>
    </w:p>
    <w:p w:rsidR="003D6619" w:rsidRPr="001C4D5A" w:rsidRDefault="005B693A" w:rsidP="00D75C51">
      <w:pPr>
        <w:spacing w:before="120" w:after="120" w:line="240" w:lineRule="auto"/>
        <w:ind w:left="1320" w:hanging="900"/>
        <w:jc w:val="both"/>
        <w:rPr>
          <w:rFonts w:eastAsia="標楷體" w:hint="eastAsia"/>
          <w:sz w:val="28"/>
        </w:rPr>
      </w:pPr>
      <w:r w:rsidRPr="001C4D5A">
        <w:rPr>
          <w:rFonts w:eastAsia="標楷體"/>
          <w:sz w:val="28"/>
        </w:rPr>
        <w:t>（三）</w:t>
      </w:r>
      <w:r w:rsidR="00DC7E9E" w:rsidRPr="00DC7E9E">
        <w:rPr>
          <w:rFonts w:eastAsia="標楷體" w:hint="eastAsia"/>
          <w:sz w:val="28"/>
        </w:rPr>
        <w:t>以標準一氧化碳與分析儀應答所繪製之檢量線（全幅之</w:t>
      </w:r>
      <w:r w:rsidR="00DC7E9E" w:rsidRPr="00DC7E9E">
        <w:rPr>
          <w:rFonts w:eastAsia="標楷體" w:hint="eastAsia"/>
          <w:sz w:val="28"/>
        </w:rPr>
        <w:t xml:space="preserve"> 0 %</w:t>
      </w:r>
      <w:r w:rsidR="007C7BA7">
        <w:rPr>
          <w:rFonts w:eastAsia="標楷體"/>
          <w:sz w:val="28"/>
        </w:rPr>
        <w:t xml:space="preserve"> </w:t>
      </w:r>
      <w:r w:rsidR="00DC7E9E" w:rsidRPr="00DC7E9E">
        <w:rPr>
          <w:rFonts w:eastAsia="標楷體" w:hint="eastAsia"/>
          <w:sz w:val="28"/>
        </w:rPr>
        <w:t>、</w:t>
      </w:r>
      <w:r w:rsidR="00DC7E9E" w:rsidRPr="00DC7E9E">
        <w:rPr>
          <w:rFonts w:eastAsia="標楷體" w:hint="eastAsia"/>
          <w:sz w:val="28"/>
        </w:rPr>
        <w:t>20 %</w:t>
      </w:r>
      <w:r w:rsidR="007C7BA7">
        <w:rPr>
          <w:rFonts w:eastAsia="標楷體"/>
          <w:sz w:val="28"/>
        </w:rPr>
        <w:t xml:space="preserve"> </w:t>
      </w:r>
      <w:r w:rsidR="00DC7E9E" w:rsidRPr="00DC7E9E">
        <w:rPr>
          <w:rFonts w:eastAsia="標楷體" w:hint="eastAsia"/>
          <w:sz w:val="28"/>
        </w:rPr>
        <w:t>、</w:t>
      </w:r>
      <w:r w:rsidR="007C7BA7">
        <w:rPr>
          <w:rFonts w:eastAsia="標楷體" w:hint="eastAsia"/>
          <w:sz w:val="28"/>
        </w:rPr>
        <w:t xml:space="preserve"> </w:t>
      </w:r>
      <w:r w:rsidR="00DC7E9E" w:rsidRPr="00DC7E9E">
        <w:rPr>
          <w:rFonts w:eastAsia="標楷體" w:hint="eastAsia"/>
          <w:sz w:val="28"/>
        </w:rPr>
        <w:t>40 %</w:t>
      </w:r>
      <w:r w:rsidR="007C7BA7">
        <w:rPr>
          <w:rFonts w:eastAsia="標楷體"/>
          <w:sz w:val="28"/>
        </w:rPr>
        <w:t xml:space="preserve"> </w:t>
      </w:r>
      <w:r w:rsidR="00DC7E9E" w:rsidRPr="00DC7E9E">
        <w:rPr>
          <w:rFonts w:eastAsia="標楷體" w:hint="eastAsia"/>
          <w:sz w:val="28"/>
        </w:rPr>
        <w:t>、</w:t>
      </w:r>
      <w:r w:rsidR="007C7BA7">
        <w:rPr>
          <w:rFonts w:eastAsia="標楷體" w:hint="eastAsia"/>
          <w:sz w:val="28"/>
        </w:rPr>
        <w:t xml:space="preserve"> </w:t>
      </w:r>
      <w:r w:rsidR="00DC7E9E" w:rsidRPr="00DC7E9E">
        <w:rPr>
          <w:rFonts w:eastAsia="標楷體" w:hint="eastAsia"/>
          <w:sz w:val="28"/>
        </w:rPr>
        <w:t>60 %</w:t>
      </w:r>
      <w:r w:rsidR="007C7BA7">
        <w:rPr>
          <w:rFonts w:eastAsia="標楷體"/>
          <w:sz w:val="28"/>
        </w:rPr>
        <w:t xml:space="preserve"> </w:t>
      </w:r>
      <w:r w:rsidR="00DC7E9E" w:rsidRPr="00DC7E9E">
        <w:rPr>
          <w:rFonts w:eastAsia="標楷體" w:hint="eastAsia"/>
          <w:sz w:val="28"/>
        </w:rPr>
        <w:t>、</w:t>
      </w:r>
      <w:r w:rsidR="007C7BA7">
        <w:rPr>
          <w:rFonts w:eastAsia="標楷體" w:hint="eastAsia"/>
          <w:sz w:val="28"/>
        </w:rPr>
        <w:t xml:space="preserve"> </w:t>
      </w:r>
      <w:r w:rsidR="00DC7E9E" w:rsidRPr="00DC7E9E">
        <w:rPr>
          <w:rFonts w:eastAsia="標楷體" w:hint="eastAsia"/>
          <w:sz w:val="28"/>
        </w:rPr>
        <w:t>80 %</w:t>
      </w:r>
      <w:r w:rsidR="007C7BA7">
        <w:rPr>
          <w:rFonts w:eastAsia="標楷體"/>
          <w:sz w:val="28"/>
        </w:rPr>
        <w:t xml:space="preserve"> </w:t>
      </w:r>
      <w:r w:rsidR="00DC7E9E" w:rsidRPr="00D634C5">
        <w:rPr>
          <w:rFonts w:eastAsia="標楷體" w:hint="eastAsia"/>
          <w:sz w:val="28"/>
        </w:rPr>
        <w:t>、</w:t>
      </w:r>
      <w:r w:rsidR="007C7BA7" w:rsidRPr="00D634C5">
        <w:rPr>
          <w:rFonts w:eastAsia="標楷體" w:hint="eastAsia"/>
          <w:sz w:val="28"/>
        </w:rPr>
        <w:t xml:space="preserve"> </w:t>
      </w:r>
      <w:r w:rsidR="00DC7E9E" w:rsidRPr="00D634C5">
        <w:rPr>
          <w:rFonts w:eastAsia="標楷體" w:hint="eastAsia"/>
          <w:sz w:val="28"/>
        </w:rPr>
        <w:t>100 %</w:t>
      </w:r>
      <w:r w:rsidR="007C7BA7" w:rsidRPr="00D634C5">
        <w:rPr>
          <w:rFonts w:eastAsia="標楷體"/>
          <w:sz w:val="28"/>
        </w:rPr>
        <w:t xml:space="preserve"> </w:t>
      </w:r>
      <w:r w:rsidR="00DC7E9E" w:rsidRPr="00D634C5">
        <w:rPr>
          <w:rFonts w:eastAsia="標楷體" w:hint="eastAsia"/>
          <w:sz w:val="28"/>
        </w:rPr>
        <w:t>（或近似濃度）</w:t>
      </w:r>
      <w:r w:rsidR="00DC7E9E" w:rsidRPr="00DC7E9E">
        <w:rPr>
          <w:rFonts w:eastAsia="標楷體" w:hint="eastAsia"/>
          <w:sz w:val="28"/>
        </w:rPr>
        <w:t>等</w:t>
      </w:r>
      <w:r w:rsidR="00DC7E9E" w:rsidRPr="00D634C5">
        <w:rPr>
          <w:rFonts w:eastAsia="標楷體" w:hint="eastAsia"/>
          <w:sz w:val="28"/>
        </w:rPr>
        <w:t>六</w:t>
      </w:r>
      <w:r w:rsidR="00DC7E9E" w:rsidRPr="00DC7E9E">
        <w:rPr>
          <w:rFonts w:eastAsia="標楷體" w:hint="eastAsia"/>
          <w:sz w:val="28"/>
        </w:rPr>
        <w:t>種不同濃度之校正氣體），其線性相關係數須大於</w:t>
      </w:r>
      <w:r w:rsidR="00DC7E9E" w:rsidRPr="00DC7E9E">
        <w:rPr>
          <w:rFonts w:eastAsia="標楷體" w:hint="eastAsia"/>
          <w:sz w:val="28"/>
        </w:rPr>
        <w:t>0.995</w:t>
      </w:r>
      <w:r w:rsidR="00DC7E9E" w:rsidRPr="00DC7E9E">
        <w:rPr>
          <w:rFonts w:eastAsia="標楷體" w:hint="eastAsia"/>
          <w:sz w:val="28"/>
        </w:rPr>
        <w:t>。</w:t>
      </w:r>
    </w:p>
    <w:p w:rsidR="003D6619" w:rsidRDefault="003D6619">
      <w:pPr>
        <w:spacing w:before="120" w:after="120" w:line="240" w:lineRule="auto"/>
        <w:ind w:left="482" w:hanging="482"/>
        <w:jc w:val="both"/>
        <w:rPr>
          <w:rFonts w:eastAsia="標楷體"/>
          <w:sz w:val="28"/>
        </w:rPr>
      </w:pPr>
      <w:r w:rsidRPr="001C4D5A">
        <w:rPr>
          <w:rFonts w:eastAsia="標楷體"/>
          <w:sz w:val="28"/>
        </w:rPr>
        <w:t>十、精密度與準確度</w:t>
      </w:r>
    </w:p>
    <w:p w:rsidR="00DC7E9E" w:rsidRPr="00DC7E9E" w:rsidRDefault="00DC7E9E" w:rsidP="00DC7E9E">
      <w:pPr>
        <w:spacing w:before="120" w:after="120" w:line="400" w:lineRule="exact"/>
        <w:ind w:leftChars="234" w:left="562" w:firstLineChars="200" w:firstLine="560"/>
        <w:jc w:val="both"/>
        <w:rPr>
          <w:rFonts w:eastAsia="標楷體" w:hint="eastAsia"/>
          <w:sz w:val="28"/>
        </w:rPr>
      </w:pPr>
      <w:r>
        <w:rPr>
          <w:rFonts w:eastAsia="標楷體" w:hint="eastAsia"/>
          <w:kern w:val="2"/>
          <w:sz w:val="28"/>
          <w:szCs w:val="24"/>
        </w:rPr>
        <w:t>略</w:t>
      </w:r>
      <w:r w:rsidRPr="00713262">
        <w:rPr>
          <w:rFonts w:eastAsia="標楷體" w:hint="eastAsia"/>
          <w:kern w:val="2"/>
          <w:sz w:val="28"/>
          <w:szCs w:val="24"/>
        </w:rPr>
        <w:t>。</w:t>
      </w:r>
    </w:p>
    <w:p w:rsidR="003D6619" w:rsidRPr="001C4D5A" w:rsidRDefault="003D6619">
      <w:pPr>
        <w:spacing w:before="120" w:after="120" w:line="240" w:lineRule="auto"/>
        <w:ind w:left="600" w:hanging="600"/>
        <w:jc w:val="both"/>
        <w:rPr>
          <w:rFonts w:eastAsia="標楷體"/>
          <w:sz w:val="28"/>
        </w:rPr>
      </w:pPr>
      <w:r w:rsidRPr="001C4D5A">
        <w:rPr>
          <w:rFonts w:eastAsia="標楷體"/>
          <w:sz w:val="28"/>
        </w:rPr>
        <w:t>十一、參考資料</w:t>
      </w:r>
    </w:p>
    <w:p w:rsidR="00D634C5" w:rsidRDefault="00DC7E9E" w:rsidP="00D634C5">
      <w:pPr>
        <w:numPr>
          <w:ilvl w:val="0"/>
          <w:numId w:val="10"/>
        </w:numPr>
        <w:spacing w:before="120" w:after="120" w:line="240" w:lineRule="auto"/>
        <w:jc w:val="both"/>
        <w:rPr>
          <w:rFonts w:eastAsia="標楷體"/>
          <w:sz w:val="28"/>
        </w:rPr>
      </w:pPr>
      <w:r w:rsidRPr="00D634C5">
        <w:rPr>
          <w:rFonts w:eastAsia="標楷體" w:hint="eastAsia"/>
          <w:sz w:val="28"/>
        </w:rPr>
        <w:t>U.S. EPA</w:t>
      </w:r>
      <w:r w:rsidRPr="00DC7E9E">
        <w:rPr>
          <w:rFonts w:eastAsia="標楷體" w:hint="eastAsia"/>
          <w:sz w:val="28"/>
        </w:rPr>
        <w:t>. Code of Federal Regulations</w:t>
      </w:r>
      <w:r w:rsidRPr="00DC7E9E">
        <w:rPr>
          <w:rFonts w:eastAsia="標楷體" w:hint="eastAsia"/>
          <w:sz w:val="28"/>
        </w:rPr>
        <w:t>（</w:t>
      </w:r>
      <w:r w:rsidRPr="00DC7E9E">
        <w:rPr>
          <w:rFonts w:eastAsia="標楷體" w:hint="eastAsia"/>
          <w:sz w:val="28"/>
        </w:rPr>
        <w:t>CFR</w:t>
      </w:r>
      <w:r w:rsidRPr="00DC7E9E">
        <w:rPr>
          <w:rFonts w:eastAsia="標楷體" w:hint="eastAsia"/>
          <w:sz w:val="28"/>
        </w:rPr>
        <w:t>）</w:t>
      </w:r>
      <w:r w:rsidRPr="00DC7E9E">
        <w:rPr>
          <w:rFonts w:eastAsia="標楷體" w:hint="eastAsia"/>
          <w:sz w:val="28"/>
        </w:rPr>
        <w:t xml:space="preserve">, 40 CFR Part 50, App. C, </w:t>
      </w:r>
      <w:r w:rsidRPr="00D634C5">
        <w:rPr>
          <w:rFonts w:eastAsia="標楷體" w:hint="eastAsia"/>
          <w:sz w:val="28"/>
        </w:rPr>
        <w:t>2015</w:t>
      </w:r>
      <w:r w:rsidRPr="00DC7E9E">
        <w:rPr>
          <w:rFonts w:eastAsia="標楷體" w:hint="eastAsia"/>
          <w:sz w:val="28"/>
        </w:rPr>
        <w:t>.</w:t>
      </w:r>
    </w:p>
    <w:p w:rsidR="00D634C5" w:rsidRDefault="00DC7E9E" w:rsidP="00D634C5">
      <w:pPr>
        <w:numPr>
          <w:ilvl w:val="0"/>
          <w:numId w:val="10"/>
        </w:numPr>
        <w:spacing w:before="120" w:after="120" w:line="240" w:lineRule="auto"/>
        <w:jc w:val="both"/>
        <w:rPr>
          <w:rFonts w:eastAsia="標楷體"/>
          <w:sz w:val="28"/>
        </w:rPr>
      </w:pPr>
      <w:r w:rsidRPr="00D634C5">
        <w:rPr>
          <w:rFonts w:eastAsia="標楷體" w:hint="eastAsia"/>
          <w:sz w:val="28"/>
        </w:rPr>
        <w:t>U.S. EPA. Code of Federal Regulations</w:t>
      </w:r>
      <w:r w:rsidRPr="00D634C5">
        <w:rPr>
          <w:rFonts w:eastAsia="標楷體" w:hint="eastAsia"/>
          <w:sz w:val="28"/>
        </w:rPr>
        <w:t>（</w:t>
      </w:r>
      <w:r w:rsidRPr="00D634C5">
        <w:rPr>
          <w:rFonts w:eastAsia="標楷體" w:hint="eastAsia"/>
          <w:sz w:val="28"/>
        </w:rPr>
        <w:t>CFR</w:t>
      </w:r>
      <w:r w:rsidRPr="00D634C5">
        <w:rPr>
          <w:rFonts w:eastAsia="標楷體" w:hint="eastAsia"/>
          <w:sz w:val="28"/>
        </w:rPr>
        <w:t>）</w:t>
      </w:r>
      <w:r w:rsidRPr="00D634C5">
        <w:rPr>
          <w:rFonts w:eastAsia="標楷體" w:hint="eastAsia"/>
          <w:sz w:val="28"/>
        </w:rPr>
        <w:t>, 40 CFR Part 53, SubpartB, 2015.</w:t>
      </w:r>
    </w:p>
    <w:p w:rsidR="00D634C5" w:rsidRDefault="00D634C5" w:rsidP="00D634C5">
      <w:pPr>
        <w:numPr>
          <w:ilvl w:val="0"/>
          <w:numId w:val="10"/>
        </w:numPr>
        <w:spacing w:before="120" w:after="120" w:line="240" w:lineRule="auto"/>
        <w:jc w:val="both"/>
        <w:rPr>
          <w:rFonts w:eastAsia="標楷體"/>
          <w:sz w:val="28"/>
        </w:rPr>
      </w:pPr>
      <w:r w:rsidRPr="00D634C5">
        <w:rPr>
          <w:rFonts w:eastAsia="標楷體" w:hint="eastAsia"/>
          <w:sz w:val="28"/>
        </w:rPr>
        <w:t xml:space="preserve">U.S. </w:t>
      </w:r>
      <w:r w:rsidR="00DC7E9E" w:rsidRPr="00D634C5">
        <w:rPr>
          <w:rFonts w:eastAsia="標楷體" w:hint="eastAsia"/>
          <w:sz w:val="28"/>
        </w:rPr>
        <w:t>EPA. Quality Assurance Handbook for Air Pollution Measurement Systems</w:t>
      </w:r>
      <w:r w:rsidR="00DC7E9E" w:rsidRPr="00D634C5">
        <w:rPr>
          <w:rFonts w:eastAsia="標楷體" w:hint="eastAsia"/>
          <w:sz w:val="28"/>
        </w:rPr>
        <w:t>：</w:t>
      </w:r>
      <w:r w:rsidR="00DC7E9E" w:rsidRPr="00D634C5">
        <w:rPr>
          <w:rFonts w:eastAsia="標楷體" w:hint="eastAsia"/>
          <w:sz w:val="28"/>
        </w:rPr>
        <w:t>Volume</w:t>
      </w:r>
      <w:r w:rsidR="00DC7E9E" w:rsidRPr="00D634C5">
        <w:rPr>
          <w:rFonts w:eastAsia="標楷體" w:hint="eastAsia"/>
          <w:sz w:val="28"/>
        </w:rPr>
        <w:t>Ⅱ</w:t>
      </w:r>
      <w:r w:rsidR="00DC7E9E" w:rsidRPr="00D634C5">
        <w:rPr>
          <w:rFonts w:eastAsia="標楷體" w:hint="eastAsia"/>
          <w:sz w:val="28"/>
        </w:rPr>
        <w:t xml:space="preserve"> Ambient Air Quality Monitoring Program,</w:t>
      </w:r>
      <w:r w:rsidRPr="00D634C5">
        <w:rPr>
          <w:rFonts w:eastAsia="標楷體"/>
          <w:sz w:val="28"/>
        </w:rPr>
        <w:t xml:space="preserve"> </w:t>
      </w:r>
      <w:r w:rsidR="00DC7E9E" w:rsidRPr="00D634C5">
        <w:rPr>
          <w:rFonts w:eastAsia="標楷體" w:hint="eastAsia"/>
          <w:sz w:val="28"/>
        </w:rPr>
        <w:t>2013.</w:t>
      </w:r>
    </w:p>
    <w:p w:rsidR="00D634C5" w:rsidRDefault="00DC7E9E" w:rsidP="00D634C5">
      <w:pPr>
        <w:numPr>
          <w:ilvl w:val="0"/>
          <w:numId w:val="10"/>
        </w:numPr>
        <w:spacing w:before="120" w:after="120" w:line="240" w:lineRule="auto"/>
        <w:jc w:val="both"/>
        <w:rPr>
          <w:rFonts w:eastAsia="標楷體"/>
          <w:sz w:val="28"/>
        </w:rPr>
      </w:pPr>
      <w:r w:rsidRPr="00D634C5">
        <w:rPr>
          <w:rFonts w:eastAsia="標楷體" w:hint="eastAsia"/>
          <w:sz w:val="28"/>
        </w:rPr>
        <w:t>Methods of Air Sampling and Analysis, 3rd edition, pp.296</w:t>
      </w:r>
      <w:r w:rsidRPr="00D634C5">
        <w:rPr>
          <w:rFonts w:eastAsia="標楷體" w:hint="eastAsia"/>
          <w:sz w:val="28"/>
        </w:rPr>
        <w:t>～</w:t>
      </w:r>
      <w:r w:rsidRPr="00D634C5">
        <w:rPr>
          <w:rFonts w:eastAsia="標楷體" w:hint="eastAsia"/>
          <w:sz w:val="28"/>
        </w:rPr>
        <w:t>302, APHA, 1989.</w:t>
      </w:r>
    </w:p>
    <w:p w:rsidR="00D634C5" w:rsidRDefault="00DC7E9E" w:rsidP="00D634C5">
      <w:pPr>
        <w:numPr>
          <w:ilvl w:val="0"/>
          <w:numId w:val="10"/>
        </w:numPr>
        <w:spacing w:before="120" w:after="120" w:line="240" w:lineRule="auto"/>
        <w:jc w:val="both"/>
        <w:rPr>
          <w:rFonts w:eastAsia="標楷體"/>
          <w:sz w:val="28"/>
        </w:rPr>
      </w:pPr>
      <w:r w:rsidRPr="00D634C5">
        <w:rPr>
          <w:rFonts w:eastAsia="標楷體" w:hint="eastAsia"/>
          <w:sz w:val="28"/>
        </w:rPr>
        <w:t>行政院環境保護署，空氣品質標準，中華民國</w:t>
      </w:r>
      <w:r w:rsidRPr="00D634C5">
        <w:rPr>
          <w:rFonts w:eastAsia="標楷體" w:hint="eastAsia"/>
          <w:sz w:val="28"/>
        </w:rPr>
        <w:t>101</w:t>
      </w:r>
      <w:r w:rsidRPr="00D634C5">
        <w:rPr>
          <w:rFonts w:eastAsia="標楷體" w:hint="eastAsia"/>
          <w:sz w:val="28"/>
        </w:rPr>
        <w:t>年。</w:t>
      </w:r>
    </w:p>
    <w:p w:rsidR="00D634C5" w:rsidRDefault="00DC7E9E" w:rsidP="00D634C5">
      <w:pPr>
        <w:numPr>
          <w:ilvl w:val="0"/>
          <w:numId w:val="10"/>
        </w:numPr>
        <w:spacing w:before="120" w:after="120" w:line="240" w:lineRule="auto"/>
        <w:jc w:val="both"/>
        <w:rPr>
          <w:rFonts w:eastAsia="標楷體"/>
          <w:sz w:val="28"/>
        </w:rPr>
      </w:pPr>
      <w:r w:rsidRPr="00D634C5">
        <w:rPr>
          <w:rFonts w:eastAsia="標楷體" w:hint="eastAsia"/>
          <w:sz w:val="28"/>
        </w:rPr>
        <w:t>行政院環境保護署，室內空氣品質標準，中華民國</w:t>
      </w:r>
      <w:r w:rsidRPr="00D634C5">
        <w:rPr>
          <w:rFonts w:eastAsia="標楷體" w:hint="eastAsia"/>
          <w:sz w:val="28"/>
        </w:rPr>
        <w:t>101</w:t>
      </w:r>
      <w:r w:rsidRPr="00D634C5">
        <w:rPr>
          <w:rFonts w:eastAsia="標楷體" w:hint="eastAsia"/>
          <w:sz w:val="28"/>
        </w:rPr>
        <w:t>年。</w:t>
      </w:r>
    </w:p>
    <w:p w:rsidR="003D6619" w:rsidRPr="00D634C5" w:rsidRDefault="00DC7E9E" w:rsidP="00D634C5">
      <w:pPr>
        <w:numPr>
          <w:ilvl w:val="0"/>
          <w:numId w:val="10"/>
        </w:numPr>
        <w:spacing w:before="120" w:after="120" w:line="240" w:lineRule="auto"/>
        <w:jc w:val="both"/>
        <w:rPr>
          <w:rFonts w:eastAsia="標楷體"/>
          <w:sz w:val="28"/>
        </w:rPr>
      </w:pPr>
      <w:r w:rsidRPr="00D634C5">
        <w:rPr>
          <w:rFonts w:eastAsia="標楷體"/>
          <w:sz w:val="28"/>
        </w:rPr>
        <w:t>Continuous analyzers for carbon monoxide in ambient air, JIS B 7951, 2004.</w:t>
      </w:r>
    </w:p>
    <w:p w:rsidR="003D6619" w:rsidRPr="001C4D5A" w:rsidRDefault="003D6619" w:rsidP="00796FDC">
      <w:pPr>
        <w:spacing w:before="120" w:after="120" w:line="240" w:lineRule="auto"/>
        <w:ind w:left="1162" w:hanging="737"/>
        <w:jc w:val="both"/>
        <w:rPr>
          <w:rFonts w:eastAsia="標楷體"/>
          <w:sz w:val="28"/>
        </w:rPr>
      </w:pPr>
      <w:r w:rsidRPr="001C4D5A">
        <w:rPr>
          <w:rFonts w:eastAsia="標楷體"/>
          <w:sz w:val="28"/>
        </w:rPr>
        <w:t>註</w:t>
      </w:r>
      <w:r w:rsidRPr="001C4D5A">
        <w:rPr>
          <w:rFonts w:eastAsia="標楷體"/>
          <w:sz w:val="28"/>
        </w:rPr>
        <w:t>1</w:t>
      </w:r>
      <w:r w:rsidRPr="001C4D5A">
        <w:rPr>
          <w:rFonts w:eastAsia="標楷體"/>
          <w:sz w:val="28"/>
        </w:rPr>
        <w:t>：</w:t>
      </w:r>
      <w:r w:rsidR="00DC7E9E" w:rsidRPr="00DC7E9E">
        <w:rPr>
          <w:rFonts w:eastAsia="標楷體" w:hint="eastAsia"/>
          <w:sz w:val="28"/>
        </w:rPr>
        <w:t>若光源為非分散性紅外</w:t>
      </w:r>
      <w:r w:rsidR="00E724DE" w:rsidRPr="00E724DE">
        <w:rPr>
          <w:rFonts w:eastAsia="標楷體" w:hint="eastAsia"/>
          <w:color w:val="FF0000"/>
          <w:sz w:val="28"/>
        </w:rPr>
        <w:t>光</w:t>
      </w:r>
      <w:r w:rsidR="00DC7E9E" w:rsidRPr="00DC7E9E">
        <w:rPr>
          <w:rFonts w:eastAsia="標楷體" w:hint="eastAsia"/>
          <w:sz w:val="28"/>
        </w:rPr>
        <w:t>(Non-dispersive Infrared)</w:t>
      </w:r>
      <w:r w:rsidR="00DC7E9E" w:rsidRPr="00DC7E9E">
        <w:rPr>
          <w:rFonts w:eastAsia="標楷體" w:hint="eastAsia"/>
          <w:sz w:val="28"/>
        </w:rPr>
        <w:t>者，稱之非分散性紅外</w:t>
      </w:r>
      <w:r w:rsidR="00E724DE" w:rsidRPr="00E724DE">
        <w:rPr>
          <w:rFonts w:eastAsia="標楷體" w:hint="eastAsia"/>
          <w:color w:val="FF0000"/>
          <w:sz w:val="28"/>
        </w:rPr>
        <w:t>光</w:t>
      </w:r>
      <w:r w:rsidR="00DC7E9E" w:rsidRPr="00DC7E9E">
        <w:rPr>
          <w:rFonts w:eastAsia="標楷體" w:hint="eastAsia"/>
          <w:sz w:val="28"/>
        </w:rPr>
        <w:t>法；若於光源照射路徑上加裝一組氣體濾鏡（高濃度</w:t>
      </w:r>
      <w:r w:rsidR="00DC7E9E" w:rsidRPr="00DC7E9E">
        <w:rPr>
          <w:rFonts w:eastAsia="標楷體" w:hint="eastAsia"/>
          <w:sz w:val="28"/>
        </w:rPr>
        <w:t>CO</w:t>
      </w:r>
      <w:r w:rsidR="00DC7E9E" w:rsidRPr="00DC7E9E">
        <w:rPr>
          <w:rFonts w:eastAsia="標楷體" w:hint="eastAsia"/>
          <w:sz w:val="28"/>
        </w:rPr>
        <w:t>／</w:t>
      </w:r>
      <w:r w:rsidR="00DC7E9E" w:rsidRPr="00DC7E9E">
        <w:rPr>
          <w:rFonts w:eastAsia="標楷體" w:hint="eastAsia"/>
          <w:sz w:val="28"/>
        </w:rPr>
        <w:t>N</w:t>
      </w:r>
      <w:r w:rsidR="00DC7E9E" w:rsidRPr="007C7BA7">
        <w:rPr>
          <w:rFonts w:eastAsia="標楷體" w:hint="eastAsia"/>
          <w:sz w:val="28"/>
          <w:vertAlign w:val="subscript"/>
        </w:rPr>
        <w:t>2</w:t>
      </w:r>
      <w:r w:rsidR="00DC7E9E" w:rsidRPr="00DC7E9E">
        <w:rPr>
          <w:rFonts w:eastAsia="標楷體" w:hint="eastAsia"/>
          <w:sz w:val="28"/>
        </w:rPr>
        <w:t>）者，稱之氣體過濾相關紅外</w:t>
      </w:r>
      <w:r w:rsidR="00E724DE" w:rsidRPr="00E724DE">
        <w:rPr>
          <w:rFonts w:eastAsia="標楷體" w:hint="eastAsia"/>
          <w:color w:val="FF0000"/>
          <w:sz w:val="28"/>
        </w:rPr>
        <w:t>光</w:t>
      </w:r>
      <w:r w:rsidR="00DC7E9E" w:rsidRPr="00DC7E9E">
        <w:rPr>
          <w:rFonts w:eastAsia="標楷體" w:hint="eastAsia"/>
          <w:sz w:val="28"/>
        </w:rPr>
        <w:t>法（</w:t>
      </w:r>
      <w:r w:rsidR="00DC7E9E" w:rsidRPr="00DC7E9E">
        <w:rPr>
          <w:rFonts w:eastAsia="標楷體" w:hint="eastAsia"/>
          <w:sz w:val="28"/>
        </w:rPr>
        <w:t>Gas filter correlation infrared</w:t>
      </w:r>
      <w:r w:rsidR="00DC7E9E" w:rsidRPr="00DC7E9E">
        <w:rPr>
          <w:rFonts w:eastAsia="標楷體" w:hint="eastAsia"/>
          <w:sz w:val="28"/>
        </w:rPr>
        <w:t>）。</w:t>
      </w:r>
    </w:p>
    <w:p w:rsidR="003D6619" w:rsidRDefault="003D6619" w:rsidP="00300A48">
      <w:pPr>
        <w:spacing w:before="120" w:after="120" w:line="240" w:lineRule="auto"/>
        <w:ind w:left="1456" w:hanging="1033"/>
        <w:rPr>
          <w:rFonts w:eastAsia="標楷體"/>
          <w:sz w:val="28"/>
        </w:rPr>
      </w:pPr>
      <w:r w:rsidRPr="001C4D5A">
        <w:rPr>
          <w:rFonts w:eastAsia="標楷體"/>
          <w:sz w:val="28"/>
        </w:rPr>
        <w:t>註</w:t>
      </w:r>
      <w:r w:rsidRPr="001C4D5A">
        <w:rPr>
          <w:rFonts w:eastAsia="標楷體"/>
          <w:sz w:val="28"/>
        </w:rPr>
        <w:t>2</w:t>
      </w:r>
      <w:r w:rsidRPr="001C4D5A">
        <w:rPr>
          <w:rFonts w:eastAsia="標楷體"/>
          <w:sz w:val="28"/>
        </w:rPr>
        <w:t>：</w:t>
      </w:r>
      <w:r w:rsidR="007C7BA7">
        <w:rPr>
          <w:rFonts w:eastAsia="標楷體" w:hint="eastAsia"/>
          <w:sz w:val="28"/>
        </w:rPr>
        <w:t>名詞解釋</w:t>
      </w:r>
    </w:p>
    <w:p w:rsidR="00DC7E9E" w:rsidRDefault="00DC7E9E" w:rsidP="00DC7E9E">
      <w:pPr>
        <w:numPr>
          <w:ilvl w:val="0"/>
          <w:numId w:val="8"/>
        </w:numPr>
        <w:spacing w:before="120" w:after="120" w:line="240" w:lineRule="auto"/>
        <w:jc w:val="both"/>
        <w:rPr>
          <w:rFonts w:eastAsia="標楷體"/>
          <w:sz w:val="28"/>
        </w:rPr>
      </w:pPr>
      <w:r w:rsidRPr="00DC7E9E">
        <w:rPr>
          <w:rFonts w:eastAsia="標楷體" w:hint="eastAsia"/>
          <w:sz w:val="28"/>
        </w:rPr>
        <w:t>測定範圍（</w:t>
      </w:r>
      <w:r w:rsidRPr="00DC7E9E">
        <w:rPr>
          <w:rFonts w:eastAsia="標楷體" w:hint="eastAsia"/>
          <w:sz w:val="28"/>
        </w:rPr>
        <w:t>Range</w:t>
      </w:r>
      <w:r w:rsidRPr="00DC7E9E">
        <w:rPr>
          <w:rFonts w:eastAsia="標楷體" w:hint="eastAsia"/>
          <w:sz w:val="28"/>
        </w:rPr>
        <w:t>）</w:t>
      </w:r>
    </w:p>
    <w:p w:rsidR="00DC7E9E" w:rsidRPr="001C4D5A" w:rsidRDefault="00DC7E9E" w:rsidP="00DC7E9E">
      <w:pPr>
        <w:spacing w:before="120" w:after="120" w:line="240" w:lineRule="auto"/>
        <w:ind w:left="1140"/>
        <w:jc w:val="both"/>
        <w:rPr>
          <w:rFonts w:eastAsia="標楷體" w:hint="eastAsia"/>
          <w:sz w:val="28"/>
        </w:rPr>
      </w:pPr>
      <w:r w:rsidRPr="00DC7E9E">
        <w:rPr>
          <w:rFonts w:eastAsia="標楷體" w:hint="eastAsia"/>
          <w:sz w:val="28"/>
        </w:rPr>
        <w:t>一種偵測方法所能量測到之最大、最小濃度所界定的範圍。</w:t>
      </w:r>
    </w:p>
    <w:p w:rsidR="00DC7E9E" w:rsidRDefault="00DC7E9E" w:rsidP="00DC7E9E">
      <w:pPr>
        <w:numPr>
          <w:ilvl w:val="0"/>
          <w:numId w:val="8"/>
        </w:numPr>
        <w:spacing w:before="120" w:after="120" w:line="240" w:lineRule="auto"/>
        <w:jc w:val="both"/>
        <w:rPr>
          <w:rFonts w:eastAsia="標楷體"/>
          <w:sz w:val="28"/>
        </w:rPr>
      </w:pPr>
      <w:r w:rsidRPr="00DC7E9E">
        <w:rPr>
          <w:rFonts w:eastAsia="標楷體" w:hint="eastAsia"/>
          <w:sz w:val="28"/>
        </w:rPr>
        <w:t>雜訊（</w:t>
      </w:r>
      <w:r w:rsidRPr="00DC7E9E">
        <w:rPr>
          <w:rFonts w:eastAsia="標楷體" w:hint="eastAsia"/>
          <w:sz w:val="28"/>
        </w:rPr>
        <w:t>Noise</w:t>
      </w:r>
      <w:r w:rsidRPr="00DC7E9E">
        <w:rPr>
          <w:rFonts w:eastAsia="標楷體" w:hint="eastAsia"/>
          <w:sz w:val="28"/>
        </w:rPr>
        <w:t>）</w:t>
      </w:r>
    </w:p>
    <w:p w:rsidR="00DC7E9E" w:rsidRDefault="00DC7E9E" w:rsidP="00DC7E9E">
      <w:pPr>
        <w:spacing w:before="120" w:after="120" w:line="240" w:lineRule="auto"/>
        <w:ind w:left="1140"/>
        <w:jc w:val="both"/>
        <w:rPr>
          <w:rFonts w:eastAsia="標楷體"/>
          <w:sz w:val="28"/>
        </w:rPr>
      </w:pPr>
      <w:r w:rsidRPr="00DC7E9E">
        <w:rPr>
          <w:rFonts w:eastAsia="標楷體" w:hint="eastAsia"/>
          <w:sz w:val="28"/>
        </w:rPr>
        <w:t>輸出訊號發生自發性的、短期的偏差，而非緣於輸入濃度之改變，雜訊之大小由平均輸出的標準偏差決定，以濃度單位表示。</w:t>
      </w:r>
    </w:p>
    <w:p w:rsidR="0033203C" w:rsidRDefault="0033203C" w:rsidP="0033203C">
      <w:pPr>
        <w:numPr>
          <w:ilvl w:val="0"/>
          <w:numId w:val="8"/>
        </w:numPr>
        <w:spacing w:before="120" w:after="120" w:line="240" w:lineRule="auto"/>
        <w:jc w:val="both"/>
        <w:rPr>
          <w:rFonts w:eastAsia="標楷體"/>
          <w:sz w:val="28"/>
        </w:rPr>
      </w:pPr>
      <w:r w:rsidRPr="0033203C">
        <w:rPr>
          <w:rFonts w:eastAsia="標楷體" w:hint="eastAsia"/>
          <w:sz w:val="28"/>
        </w:rPr>
        <w:t>偵測極限</w:t>
      </w:r>
    </w:p>
    <w:p w:rsidR="00DC7E9E" w:rsidRPr="001C4D5A" w:rsidRDefault="0033203C" w:rsidP="0033203C">
      <w:pPr>
        <w:spacing w:before="120" w:after="120" w:line="240" w:lineRule="auto"/>
        <w:ind w:left="1140"/>
        <w:jc w:val="both"/>
        <w:rPr>
          <w:rFonts w:eastAsia="標楷體"/>
          <w:sz w:val="28"/>
        </w:rPr>
      </w:pPr>
      <w:r w:rsidRPr="0033203C">
        <w:rPr>
          <w:rFonts w:eastAsia="標楷體" w:hint="eastAsia"/>
          <w:sz w:val="28"/>
        </w:rPr>
        <w:t>請參照</w:t>
      </w:r>
      <w:r w:rsidRPr="0033203C">
        <w:rPr>
          <w:rFonts w:eastAsia="標楷體" w:hint="eastAsia"/>
          <w:sz w:val="28"/>
        </w:rPr>
        <w:t xml:space="preserve">NIEA A411  </w:t>
      </w:r>
      <w:r w:rsidRPr="0033203C">
        <w:rPr>
          <w:rFonts w:eastAsia="標楷體" w:hint="eastAsia"/>
          <w:sz w:val="28"/>
        </w:rPr>
        <w:t>九、品質管制之規定。</w:t>
      </w:r>
    </w:p>
    <w:p w:rsidR="00A01EBF" w:rsidRDefault="0033203C" w:rsidP="00A01EBF">
      <w:pPr>
        <w:numPr>
          <w:ilvl w:val="0"/>
          <w:numId w:val="8"/>
        </w:numPr>
        <w:spacing w:before="120" w:after="120" w:line="240" w:lineRule="auto"/>
        <w:jc w:val="both"/>
        <w:rPr>
          <w:rFonts w:eastAsia="標楷體"/>
          <w:sz w:val="28"/>
        </w:rPr>
      </w:pPr>
      <w:r w:rsidRPr="0033203C">
        <w:rPr>
          <w:rFonts w:eastAsia="標楷體" w:hint="eastAsia"/>
          <w:sz w:val="28"/>
        </w:rPr>
        <w:t>干擾當量（</w:t>
      </w:r>
      <w:r w:rsidRPr="0033203C">
        <w:rPr>
          <w:rFonts w:eastAsia="標楷體" w:hint="eastAsia"/>
          <w:sz w:val="28"/>
        </w:rPr>
        <w:t>Interference equivalent</w:t>
      </w:r>
      <w:r w:rsidRPr="0033203C">
        <w:rPr>
          <w:rFonts w:eastAsia="標楷體" w:hint="eastAsia"/>
          <w:sz w:val="28"/>
        </w:rPr>
        <w:t>）</w:t>
      </w:r>
    </w:p>
    <w:p w:rsidR="00A01EBF" w:rsidRDefault="00A01EBF" w:rsidP="00A01EBF">
      <w:pPr>
        <w:spacing w:before="120" w:after="120" w:line="240" w:lineRule="auto"/>
        <w:ind w:left="1140"/>
        <w:jc w:val="both"/>
        <w:rPr>
          <w:rFonts w:eastAsia="標楷體"/>
          <w:sz w:val="28"/>
        </w:rPr>
      </w:pPr>
      <w:r w:rsidRPr="00A01EBF">
        <w:rPr>
          <w:rFonts w:eastAsia="標楷體"/>
          <w:sz w:val="28"/>
        </w:rPr>
        <w:t>由不是欲量測物質所造成的正或負應答偏差。</w:t>
      </w:r>
    </w:p>
    <w:p w:rsidR="00A01EBF" w:rsidRPr="00195830" w:rsidRDefault="00A01EBF" w:rsidP="00A01EBF">
      <w:pPr>
        <w:spacing w:before="120" w:after="120" w:line="240" w:lineRule="auto"/>
        <w:ind w:left="1498" w:hanging="217"/>
        <w:jc w:val="both"/>
        <w:rPr>
          <w:rFonts w:eastAsia="標楷體"/>
          <w:sz w:val="28"/>
          <w:u w:val="single"/>
        </w:rPr>
      </w:pPr>
      <w:r>
        <w:rPr>
          <w:rFonts w:eastAsia="標楷體" w:hint="eastAsia"/>
          <w:sz w:val="28"/>
        </w:rPr>
        <w:t>A</w:t>
      </w:r>
      <w:r w:rsidRPr="000F5115">
        <w:rPr>
          <w:rFonts w:eastAsia="標楷體" w:hint="eastAsia"/>
          <w:sz w:val="28"/>
        </w:rPr>
        <w:t>.</w:t>
      </w:r>
      <w:r w:rsidRPr="00A01EBF">
        <w:rPr>
          <w:rFonts w:eastAsia="標楷體" w:hint="eastAsia"/>
          <w:sz w:val="28"/>
        </w:rPr>
        <w:t>單一當量：一種干擾物質所引起的偏差。</w:t>
      </w:r>
    </w:p>
    <w:p w:rsidR="00A01EBF" w:rsidRPr="00A01EBF" w:rsidRDefault="00A01EBF" w:rsidP="00A01EBF">
      <w:pPr>
        <w:spacing w:before="120" w:after="120" w:line="240" w:lineRule="auto"/>
        <w:ind w:left="1498" w:hanging="217"/>
        <w:jc w:val="both"/>
        <w:rPr>
          <w:rFonts w:eastAsia="標楷體" w:hint="eastAsia"/>
          <w:sz w:val="28"/>
          <w:u w:val="single"/>
        </w:rPr>
      </w:pPr>
      <w:r>
        <w:rPr>
          <w:rFonts w:eastAsia="標楷體" w:hint="eastAsia"/>
          <w:sz w:val="28"/>
        </w:rPr>
        <w:t>B</w:t>
      </w:r>
      <w:r w:rsidRPr="000F5115">
        <w:rPr>
          <w:rFonts w:eastAsia="標楷體" w:hint="eastAsia"/>
          <w:sz w:val="28"/>
        </w:rPr>
        <w:t>.</w:t>
      </w:r>
      <w:r w:rsidRPr="00A01EBF">
        <w:rPr>
          <w:rFonts w:eastAsia="標楷體" w:hint="eastAsia"/>
          <w:sz w:val="28"/>
        </w:rPr>
        <w:t>總當量：所有單一當量的絕對值總和。</w:t>
      </w:r>
    </w:p>
    <w:p w:rsidR="00A01EBF" w:rsidRDefault="00A01EBF" w:rsidP="00A01EBF">
      <w:pPr>
        <w:numPr>
          <w:ilvl w:val="0"/>
          <w:numId w:val="8"/>
        </w:numPr>
        <w:spacing w:before="120" w:after="120" w:line="240" w:lineRule="auto"/>
        <w:jc w:val="both"/>
        <w:rPr>
          <w:rFonts w:eastAsia="標楷體"/>
          <w:sz w:val="28"/>
        </w:rPr>
      </w:pPr>
      <w:r w:rsidRPr="00A01EBF">
        <w:rPr>
          <w:rFonts w:eastAsia="標楷體" w:hint="eastAsia"/>
          <w:sz w:val="28"/>
        </w:rPr>
        <w:t>零點標準氣體（</w:t>
      </w:r>
      <w:r w:rsidRPr="00A01EBF">
        <w:rPr>
          <w:rFonts w:eastAsia="標楷體" w:hint="eastAsia"/>
          <w:sz w:val="28"/>
        </w:rPr>
        <w:t>Zero air</w:t>
      </w:r>
      <w:r w:rsidRPr="00A01EBF">
        <w:rPr>
          <w:rFonts w:eastAsia="標楷體" w:hint="eastAsia"/>
          <w:sz w:val="28"/>
        </w:rPr>
        <w:t>）</w:t>
      </w:r>
    </w:p>
    <w:p w:rsidR="0033203C" w:rsidRPr="0033203C" w:rsidRDefault="00A01EBF" w:rsidP="002E0D1B">
      <w:pPr>
        <w:spacing w:before="120" w:after="120" w:line="240" w:lineRule="auto"/>
        <w:ind w:left="1140"/>
        <w:jc w:val="both"/>
        <w:rPr>
          <w:rFonts w:eastAsia="標楷體" w:hint="eastAsia"/>
          <w:sz w:val="28"/>
        </w:rPr>
      </w:pPr>
      <w:r w:rsidRPr="00A01EBF">
        <w:rPr>
          <w:rFonts w:eastAsia="標楷體" w:hint="eastAsia"/>
          <w:sz w:val="28"/>
        </w:rPr>
        <w:t>不含任何可引起分析儀應答之物質的標準氣體。</w:t>
      </w:r>
    </w:p>
    <w:p w:rsidR="00A01EBF" w:rsidRDefault="00A01EBF" w:rsidP="00A01EBF">
      <w:pPr>
        <w:numPr>
          <w:ilvl w:val="0"/>
          <w:numId w:val="8"/>
        </w:numPr>
        <w:spacing w:before="120" w:after="120" w:line="240" w:lineRule="auto"/>
        <w:jc w:val="both"/>
        <w:rPr>
          <w:rFonts w:eastAsia="標楷體"/>
          <w:sz w:val="28"/>
        </w:rPr>
      </w:pPr>
      <w:r w:rsidRPr="00A01EBF">
        <w:rPr>
          <w:rFonts w:eastAsia="標楷體" w:hint="eastAsia"/>
          <w:sz w:val="28"/>
        </w:rPr>
        <w:t>全幅濃度標準氣體（</w:t>
      </w:r>
      <w:r w:rsidRPr="00A01EBF">
        <w:rPr>
          <w:rFonts w:eastAsia="標楷體" w:hint="eastAsia"/>
          <w:sz w:val="28"/>
        </w:rPr>
        <w:t xml:space="preserve">Span standard </w:t>
      </w:r>
      <w:r w:rsidRPr="00D634C5">
        <w:rPr>
          <w:rFonts w:eastAsia="標楷體" w:hint="eastAsia"/>
          <w:sz w:val="28"/>
        </w:rPr>
        <w:t>gas</w:t>
      </w:r>
      <w:r w:rsidRPr="00A01EBF">
        <w:rPr>
          <w:rFonts w:eastAsia="標楷體" w:hint="eastAsia"/>
          <w:sz w:val="28"/>
        </w:rPr>
        <w:t>）</w:t>
      </w:r>
    </w:p>
    <w:p w:rsidR="00DC7E9E" w:rsidRPr="001C4D5A" w:rsidRDefault="00A01EBF" w:rsidP="00A01EBF">
      <w:pPr>
        <w:spacing w:before="120" w:after="120" w:line="240" w:lineRule="auto"/>
        <w:ind w:left="1140"/>
        <w:jc w:val="both"/>
        <w:rPr>
          <w:rFonts w:eastAsia="標楷體"/>
          <w:sz w:val="28"/>
        </w:rPr>
      </w:pPr>
      <w:r w:rsidRPr="00A01EBF">
        <w:rPr>
          <w:rFonts w:eastAsia="標楷體" w:hint="eastAsia"/>
          <w:sz w:val="28"/>
        </w:rPr>
        <w:t>含測定範圍上限濃度</w:t>
      </w:r>
      <w:r w:rsidR="00027F68">
        <w:rPr>
          <w:rFonts w:eastAsia="標楷體" w:hint="eastAsia"/>
          <w:sz w:val="28"/>
        </w:rPr>
        <w:t xml:space="preserve"> </w:t>
      </w:r>
      <w:r w:rsidRPr="00A01EBF">
        <w:rPr>
          <w:rFonts w:eastAsia="標楷體" w:hint="eastAsia"/>
          <w:sz w:val="28"/>
        </w:rPr>
        <w:t>80</w:t>
      </w:r>
      <w:r w:rsidR="00CD5ACC" w:rsidRPr="00CD5ACC">
        <w:rPr>
          <w:rFonts w:eastAsia="標楷體"/>
          <w:sz w:val="28"/>
        </w:rPr>
        <w:t>%</w:t>
      </w:r>
      <w:r w:rsidR="00027F68">
        <w:rPr>
          <w:rFonts w:eastAsia="標楷體" w:hint="eastAsia"/>
          <w:sz w:val="28"/>
        </w:rPr>
        <w:t xml:space="preserve"> </w:t>
      </w:r>
      <w:r w:rsidRPr="00A01EBF">
        <w:rPr>
          <w:rFonts w:eastAsia="標楷體" w:hint="eastAsia"/>
          <w:sz w:val="28"/>
        </w:rPr>
        <w:t>的標準氣體。</w:t>
      </w:r>
    </w:p>
    <w:p w:rsidR="00A01EBF" w:rsidRDefault="00A01EBF" w:rsidP="00A01EBF">
      <w:pPr>
        <w:numPr>
          <w:ilvl w:val="0"/>
          <w:numId w:val="8"/>
        </w:numPr>
        <w:spacing w:before="120" w:after="120" w:line="240" w:lineRule="auto"/>
        <w:jc w:val="both"/>
        <w:rPr>
          <w:rFonts w:eastAsia="標楷體"/>
          <w:sz w:val="28"/>
        </w:rPr>
      </w:pPr>
      <w:r w:rsidRPr="00A01EBF">
        <w:rPr>
          <w:rFonts w:eastAsia="標楷體" w:hint="eastAsia"/>
          <w:sz w:val="28"/>
        </w:rPr>
        <w:t>零點偏移（</w:t>
      </w:r>
      <w:r w:rsidRPr="00A01EBF">
        <w:rPr>
          <w:rFonts w:eastAsia="標楷體" w:hint="eastAsia"/>
          <w:sz w:val="28"/>
        </w:rPr>
        <w:t>Zero drift</w:t>
      </w:r>
      <w:r w:rsidRPr="00A01EBF">
        <w:rPr>
          <w:rFonts w:eastAsia="標楷體" w:hint="eastAsia"/>
          <w:sz w:val="28"/>
        </w:rPr>
        <w:t>）</w:t>
      </w:r>
    </w:p>
    <w:p w:rsidR="00DC7E9E" w:rsidRDefault="00A01EBF" w:rsidP="00A01EBF">
      <w:pPr>
        <w:spacing w:before="120" w:after="120" w:line="240" w:lineRule="auto"/>
        <w:ind w:left="1140"/>
        <w:jc w:val="both"/>
        <w:rPr>
          <w:rFonts w:eastAsia="標楷體"/>
          <w:sz w:val="28"/>
        </w:rPr>
      </w:pPr>
      <w:r w:rsidRPr="00A01EBF">
        <w:rPr>
          <w:rFonts w:eastAsia="標楷體" w:hint="eastAsia"/>
          <w:sz w:val="28"/>
        </w:rPr>
        <w:t>連續</w:t>
      </w:r>
      <w:r w:rsidR="003F3D8C">
        <w:rPr>
          <w:rFonts w:eastAsia="標楷體" w:hint="eastAsia"/>
          <w:sz w:val="28"/>
        </w:rPr>
        <w:t xml:space="preserve"> </w:t>
      </w:r>
      <w:r w:rsidRPr="00A01EBF">
        <w:rPr>
          <w:rFonts w:eastAsia="標楷體" w:hint="eastAsia"/>
          <w:sz w:val="28"/>
        </w:rPr>
        <w:t>12</w:t>
      </w:r>
      <w:r w:rsidR="003F3D8C">
        <w:rPr>
          <w:rFonts w:eastAsia="標楷體"/>
          <w:sz w:val="28"/>
        </w:rPr>
        <w:t xml:space="preserve"> </w:t>
      </w:r>
      <w:r w:rsidRPr="00A01EBF">
        <w:rPr>
          <w:rFonts w:eastAsia="標楷體" w:hint="eastAsia"/>
          <w:sz w:val="28"/>
        </w:rPr>
        <w:t>及</w:t>
      </w:r>
      <w:r w:rsidR="003F3D8C">
        <w:rPr>
          <w:rFonts w:eastAsia="標楷體" w:hint="eastAsia"/>
          <w:sz w:val="28"/>
        </w:rPr>
        <w:t xml:space="preserve"> </w:t>
      </w:r>
      <w:r w:rsidRPr="00A01EBF">
        <w:rPr>
          <w:rFonts w:eastAsia="標楷體" w:hint="eastAsia"/>
          <w:sz w:val="28"/>
        </w:rPr>
        <w:t>24</w:t>
      </w:r>
      <w:r w:rsidRPr="00A01EBF">
        <w:rPr>
          <w:rFonts w:eastAsia="標楷體" w:hint="eastAsia"/>
          <w:sz w:val="28"/>
        </w:rPr>
        <w:t>小時以上，未經調整的操作情況下，分析儀對零點標準氣體測試應答的變化量。</w:t>
      </w:r>
    </w:p>
    <w:p w:rsidR="00A01EBF" w:rsidRPr="001C4D5A" w:rsidRDefault="00A01EBF" w:rsidP="00A01EBF">
      <w:pPr>
        <w:spacing w:before="120" w:after="120" w:line="240" w:lineRule="auto"/>
        <w:ind w:left="1320" w:hanging="900"/>
        <w:jc w:val="both"/>
        <w:rPr>
          <w:rFonts w:eastAsia="標楷體"/>
          <w:sz w:val="28"/>
        </w:rPr>
      </w:pPr>
      <w:r>
        <w:rPr>
          <w:rFonts w:eastAsia="標楷體"/>
          <w:sz w:val="28"/>
        </w:rPr>
        <w:t>（</w:t>
      </w:r>
      <w:r>
        <w:rPr>
          <w:rFonts w:eastAsia="標楷體" w:hint="eastAsia"/>
          <w:sz w:val="28"/>
        </w:rPr>
        <w:t>8</w:t>
      </w:r>
      <w:r w:rsidRPr="001C4D5A">
        <w:rPr>
          <w:rFonts w:eastAsia="標楷體"/>
          <w:sz w:val="28"/>
        </w:rPr>
        <w:t>）</w:t>
      </w:r>
      <w:r w:rsidRPr="00A01EBF">
        <w:rPr>
          <w:rFonts w:eastAsia="標楷體" w:hint="eastAsia"/>
          <w:sz w:val="28"/>
        </w:rPr>
        <w:t>全幅偏移（</w:t>
      </w:r>
      <w:r w:rsidRPr="00A01EBF">
        <w:rPr>
          <w:rFonts w:eastAsia="標楷體" w:hint="eastAsia"/>
          <w:sz w:val="28"/>
        </w:rPr>
        <w:t>Span drift</w:t>
      </w:r>
      <w:r w:rsidRPr="00A01EBF">
        <w:rPr>
          <w:rFonts w:eastAsia="標楷體" w:hint="eastAsia"/>
          <w:sz w:val="28"/>
        </w:rPr>
        <w:t>）</w:t>
      </w:r>
    </w:p>
    <w:p w:rsidR="00A01EBF" w:rsidRPr="00A01EBF" w:rsidRDefault="00A01EBF" w:rsidP="00A01EBF">
      <w:pPr>
        <w:spacing w:before="120" w:after="120" w:line="240" w:lineRule="auto"/>
        <w:ind w:left="1140"/>
        <w:jc w:val="both"/>
        <w:rPr>
          <w:rFonts w:eastAsia="標楷體" w:hint="eastAsia"/>
          <w:sz w:val="28"/>
        </w:rPr>
      </w:pPr>
      <w:r w:rsidRPr="00A01EBF">
        <w:rPr>
          <w:rFonts w:eastAsia="標楷體" w:hint="eastAsia"/>
          <w:sz w:val="28"/>
        </w:rPr>
        <w:t>連續</w:t>
      </w:r>
      <w:r w:rsidR="003F3D8C">
        <w:rPr>
          <w:rFonts w:eastAsia="標楷體" w:hint="eastAsia"/>
          <w:sz w:val="28"/>
        </w:rPr>
        <w:t xml:space="preserve"> </w:t>
      </w:r>
      <w:r w:rsidRPr="00A01EBF">
        <w:rPr>
          <w:rFonts w:eastAsia="標楷體" w:hint="eastAsia"/>
          <w:sz w:val="28"/>
        </w:rPr>
        <w:t>24</w:t>
      </w:r>
      <w:r w:rsidRPr="00A01EBF">
        <w:rPr>
          <w:rFonts w:eastAsia="標楷體" w:hint="eastAsia"/>
          <w:sz w:val="28"/>
        </w:rPr>
        <w:t>小時以上，未經調整之操作情況下，分析儀對全幅濃度標準氣體測試應答的變化量。</w:t>
      </w:r>
    </w:p>
    <w:p w:rsidR="00A01EBF" w:rsidRDefault="00A01EBF" w:rsidP="00A01EBF">
      <w:pPr>
        <w:numPr>
          <w:ilvl w:val="0"/>
          <w:numId w:val="9"/>
        </w:numPr>
        <w:spacing w:before="120" w:after="120" w:line="240" w:lineRule="auto"/>
        <w:jc w:val="both"/>
        <w:rPr>
          <w:rFonts w:eastAsia="標楷體"/>
          <w:sz w:val="28"/>
        </w:rPr>
      </w:pPr>
      <w:r w:rsidRPr="00A01EBF">
        <w:rPr>
          <w:rFonts w:eastAsia="標楷體" w:hint="eastAsia"/>
          <w:sz w:val="28"/>
        </w:rPr>
        <w:t>遲滯時間（</w:t>
      </w:r>
      <w:r w:rsidRPr="00A01EBF">
        <w:rPr>
          <w:rFonts w:eastAsia="標楷體" w:hint="eastAsia"/>
          <w:sz w:val="28"/>
        </w:rPr>
        <w:t>Lag time</w:t>
      </w:r>
      <w:r w:rsidRPr="00A01EBF">
        <w:rPr>
          <w:rFonts w:eastAsia="標楷體" w:hint="eastAsia"/>
          <w:sz w:val="28"/>
        </w:rPr>
        <w:t>）</w:t>
      </w:r>
    </w:p>
    <w:p w:rsidR="00DC7E9E" w:rsidRPr="001C4D5A" w:rsidRDefault="00A01EBF" w:rsidP="00A01EBF">
      <w:pPr>
        <w:spacing w:before="120" w:after="120" w:line="240" w:lineRule="auto"/>
        <w:ind w:left="1140"/>
        <w:jc w:val="both"/>
        <w:rPr>
          <w:rFonts w:eastAsia="標楷體"/>
          <w:sz w:val="28"/>
        </w:rPr>
      </w:pPr>
      <w:r w:rsidRPr="00A01EBF">
        <w:rPr>
          <w:rFonts w:eastAsia="標楷體" w:hint="eastAsia"/>
          <w:sz w:val="28"/>
        </w:rPr>
        <w:t>輸入一樣品至其可觀測應答出現之經過時間。</w:t>
      </w:r>
    </w:p>
    <w:p w:rsidR="00DC7E9E" w:rsidRDefault="00A01EBF" w:rsidP="00A01EBF">
      <w:pPr>
        <w:numPr>
          <w:ilvl w:val="0"/>
          <w:numId w:val="9"/>
        </w:numPr>
        <w:spacing w:before="120" w:after="120" w:line="240" w:lineRule="auto"/>
        <w:jc w:val="both"/>
        <w:rPr>
          <w:rFonts w:eastAsia="標楷體"/>
          <w:sz w:val="28"/>
        </w:rPr>
      </w:pPr>
      <w:r w:rsidRPr="00A01EBF">
        <w:rPr>
          <w:rFonts w:eastAsia="標楷體" w:hint="eastAsia"/>
          <w:sz w:val="28"/>
        </w:rPr>
        <w:t>上升時間（</w:t>
      </w:r>
      <w:r w:rsidRPr="00A01EBF">
        <w:rPr>
          <w:rFonts w:eastAsia="標楷體" w:hint="eastAsia"/>
          <w:sz w:val="28"/>
        </w:rPr>
        <w:t>Rise time</w:t>
      </w:r>
      <w:r w:rsidRPr="00A01EBF">
        <w:rPr>
          <w:rFonts w:eastAsia="標楷體" w:hint="eastAsia"/>
          <w:sz w:val="28"/>
        </w:rPr>
        <w:t>）</w:t>
      </w:r>
    </w:p>
    <w:p w:rsidR="00A01EBF" w:rsidRPr="00DC7E9E" w:rsidRDefault="00A01EBF" w:rsidP="00A01EBF">
      <w:pPr>
        <w:spacing w:before="120" w:after="120" w:line="240" w:lineRule="auto"/>
        <w:ind w:left="1140"/>
        <w:jc w:val="both"/>
        <w:rPr>
          <w:rFonts w:eastAsia="標楷體" w:hint="eastAsia"/>
          <w:sz w:val="28"/>
        </w:rPr>
      </w:pPr>
      <w:r w:rsidRPr="00A01EBF">
        <w:rPr>
          <w:rFonts w:eastAsia="標楷體" w:hint="eastAsia"/>
          <w:sz w:val="28"/>
        </w:rPr>
        <w:t>全幅濃度氣體的應答曲線，由零點基線開始爬升至該曲線最高穩定之</w:t>
      </w:r>
      <w:r w:rsidR="00027F68">
        <w:rPr>
          <w:rFonts w:eastAsia="標楷體" w:hint="eastAsia"/>
          <w:sz w:val="28"/>
        </w:rPr>
        <w:t xml:space="preserve"> </w:t>
      </w:r>
      <w:r w:rsidRPr="00A01EBF">
        <w:rPr>
          <w:rFonts w:eastAsia="標楷體" w:hint="eastAsia"/>
          <w:sz w:val="28"/>
        </w:rPr>
        <w:t>95</w:t>
      </w:r>
      <w:r w:rsidR="00CD5ACC" w:rsidRPr="00CD5ACC">
        <w:rPr>
          <w:rFonts w:eastAsia="標楷體"/>
          <w:sz w:val="28"/>
        </w:rPr>
        <w:t>%</w:t>
      </w:r>
      <w:r w:rsidR="00027F68">
        <w:rPr>
          <w:rFonts w:eastAsia="標楷體" w:hint="eastAsia"/>
          <w:sz w:val="28"/>
        </w:rPr>
        <w:t xml:space="preserve"> </w:t>
      </w:r>
      <w:r w:rsidRPr="00A01EBF">
        <w:rPr>
          <w:rFonts w:eastAsia="標楷體" w:hint="eastAsia"/>
          <w:sz w:val="28"/>
        </w:rPr>
        <w:t>處所經的時間。</w:t>
      </w:r>
    </w:p>
    <w:p w:rsidR="00A01EBF" w:rsidRDefault="00A01EBF" w:rsidP="00A01EBF">
      <w:pPr>
        <w:numPr>
          <w:ilvl w:val="0"/>
          <w:numId w:val="9"/>
        </w:numPr>
        <w:spacing w:before="120" w:after="120" w:line="240" w:lineRule="auto"/>
        <w:jc w:val="both"/>
        <w:rPr>
          <w:rFonts w:eastAsia="標楷體"/>
          <w:sz w:val="28"/>
        </w:rPr>
      </w:pPr>
      <w:r w:rsidRPr="00A01EBF">
        <w:rPr>
          <w:rFonts w:eastAsia="標楷體" w:hint="eastAsia"/>
          <w:sz w:val="28"/>
        </w:rPr>
        <w:t>下降時間（</w:t>
      </w:r>
      <w:r w:rsidRPr="00A01EBF">
        <w:rPr>
          <w:rFonts w:eastAsia="標楷體" w:hint="eastAsia"/>
          <w:sz w:val="28"/>
        </w:rPr>
        <w:t>Fall time</w:t>
      </w:r>
      <w:r w:rsidRPr="00A01EBF">
        <w:rPr>
          <w:rFonts w:eastAsia="標楷體" w:hint="eastAsia"/>
          <w:sz w:val="28"/>
        </w:rPr>
        <w:t>）</w:t>
      </w:r>
    </w:p>
    <w:p w:rsidR="00DC7E9E" w:rsidRPr="001C4D5A" w:rsidRDefault="00A01EBF" w:rsidP="00A01EBF">
      <w:pPr>
        <w:spacing w:before="120" w:after="120" w:line="240" w:lineRule="auto"/>
        <w:ind w:left="1140"/>
        <w:jc w:val="both"/>
        <w:rPr>
          <w:rFonts w:eastAsia="標楷體"/>
          <w:sz w:val="28"/>
        </w:rPr>
      </w:pPr>
      <w:r w:rsidRPr="00A01EBF">
        <w:rPr>
          <w:rFonts w:eastAsia="標楷體" w:hint="eastAsia"/>
          <w:sz w:val="28"/>
        </w:rPr>
        <w:t>全幅濃度氣體的應答曲線，由其最高穩定之</w:t>
      </w:r>
      <w:r w:rsidRPr="00A01EBF">
        <w:rPr>
          <w:rFonts w:eastAsia="標楷體" w:hint="eastAsia"/>
          <w:sz w:val="28"/>
        </w:rPr>
        <w:t>95</w:t>
      </w:r>
      <w:r w:rsidRPr="00A01EBF">
        <w:rPr>
          <w:rFonts w:eastAsia="標楷體" w:hint="eastAsia"/>
          <w:sz w:val="28"/>
        </w:rPr>
        <w:t>％處開始下降至零點所經的時間。</w:t>
      </w:r>
    </w:p>
    <w:p w:rsidR="00A01EBF" w:rsidRDefault="00A01EBF" w:rsidP="00A01EBF">
      <w:pPr>
        <w:numPr>
          <w:ilvl w:val="0"/>
          <w:numId w:val="9"/>
        </w:numPr>
        <w:spacing w:before="120" w:after="120" w:line="240" w:lineRule="auto"/>
        <w:jc w:val="both"/>
        <w:rPr>
          <w:rFonts w:eastAsia="標楷體"/>
          <w:sz w:val="28"/>
        </w:rPr>
      </w:pPr>
      <w:r w:rsidRPr="00A01EBF">
        <w:rPr>
          <w:rFonts w:eastAsia="標楷體" w:hint="eastAsia"/>
          <w:sz w:val="28"/>
        </w:rPr>
        <w:t>精密度（</w:t>
      </w:r>
      <w:r w:rsidRPr="00A01EBF">
        <w:rPr>
          <w:rFonts w:eastAsia="標楷體" w:hint="eastAsia"/>
          <w:sz w:val="28"/>
        </w:rPr>
        <w:t>Precision</w:t>
      </w:r>
      <w:r w:rsidRPr="00A01EBF">
        <w:rPr>
          <w:rFonts w:eastAsia="標楷體" w:hint="eastAsia"/>
          <w:sz w:val="28"/>
        </w:rPr>
        <w:t>）</w:t>
      </w:r>
    </w:p>
    <w:p w:rsidR="00A01EBF" w:rsidRPr="00A01EBF" w:rsidRDefault="00A01EBF" w:rsidP="00A01EBF">
      <w:pPr>
        <w:spacing w:before="120" w:after="120" w:line="240" w:lineRule="auto"/>
        <w:ind w:left="1140"/>
        <w:jc w:val="both"/>
        <w:rPr>
          <w:rFonts w:eastAsia="標楷體" w:hint="eastAsia"/>
          <w:sz w:val="28"/>
        </w:rPr>
      </w:pPr>
      <w:r w:rsidRPr="00A01EBF">
        <w:rPr>
          <w:rFonts w:eastAsia="標楷體" w:hint="eastAsia"/>
          <w:sz w:val="28"/>
        </w:rPr>
        <w:t>重覆輸入同一標準氣體，分析儀應答的差異，以平均值之標準偏差表示。</w:t>
      </w:r>
    </w:p>
    <w:p w:rsidR="00A01EBF" w:rsidRDefault="00A01EBF" w:rsidP="00A01EBF">
      <w:pPr>
        <w:numPr>
          <w:ilvl w:val="0"/>
          <w:numId w:val="9"/>
        </w:numPr>
        <w:spacing w:before="120" w:after="120" w:line="240" w:lineRule="auto"/>
        <w:jc w:val="both"/>
        <w:rPr>
          <w:rFonts w:eastAsia="標楷體"/>
          <w:sz w:val="28"/>
        </w:rPr>
      </w:pPr>
      <w:r w:rsidRPr="00A01EBF">
        <w:rPr>
          <w:rFonts w:eastAsia="標楷體" w:hint="eastAsia"/>
          <w:sz w:val="28"/>
        </w:rPr>
        <w:t>零點背景讀數</w:t>
      </w:r>
    </w:p>
    <w:p w:rsidR="00DC7E9E" w:rsidRPr="001C4D5A" w:rsidRDefault="00A01EBF" w:rsidP="00A01EBF">
      <w:pPr>
        <w:spacing w:before="120" w:after="120" w:line="240" w:lineRule="auto"/>
        <w:ind w:left="1140"/>
        <w:jc w:val="both"/>
        <w:rPr>
          <w:rFonts w:eastAsia="標楷體"/>
          <w:sz w:val="28"/>
        </w:rPr>
      </w:pPr>
      <w:r w:rsidRPr="00A01EBF">
        <w:rPr>
          <w:rFonts w:eastAsia="標楷體" w:hint="eastAsia"/>
          <w:sz w:val="28"/>
        </w:rPr>
        <w:t>自動分析儀對零點標準氣體之應答讀數。</w:t>
      </w:r>
    </w:p>
    <w:p w:rsidR="00DC7E9E" w:rsidRDefault="00DC7E9E" w:rsidP="00300A48">
      <w:pPr>
        <w:spacing w:before="120" w:after="120" w:line="240" w:lineRule="auto"/>
        <w:ind w:left="1456" w:hanging="1033"/>
        <w:rPr>
          <w:rFonts w:eastAsia="標楷體"/>
          <w:sz w:val="28"/>
        </w:rPr>
      </w:pPr>
    </w:p>
    <w:p w:rsidR="00626097" w:rsidRDefault="00626097" w:rsidP="00300A48">
      <w:pPr>
        <w:spacing w:before="120" w:after="120" w:line="240" w:lineRule="auto"/>
        <w:ind w:left="1456" w:hanging="1033"/>
        <w:rPr>
          <w:rFonts w:eastAsia="標楷體"/>
          <w:sz w:val="28"/>
        </w:rPr>
      </w:pPr>
    </w:p>
    <w:p w:rsidR="00626097" w:rsidRDefault="00626097" w:rsidP="00300A48">
      <w:pPr>
        <w:spacing w:before="120" w:after="120" w:line="240" w:lineRule="auto"/>
        <w:ind w:left="1456" w:hanging="1033"/>
        <w:rPr>
          <w:rFonts w:eastAsia="標楷體"/>
          <w:sz w:val="28"/>
        </w:rPr>
      </w:pPr>
    </w:p>
    <w:p w:rsidR="00D75C51" w:rsidRDefault="00D75C51" w:rsidP="00300A48">
      <w:pPr>
        <w:spacing w:before="120" w:after="120" w:line="240" w:lineRule="auto"/>
        <w:ind w:left="1456" w:hanging="1033"/>
        <w:rPr>
          <w:rFonts w:eastAsia="標楷體"/>
          <w:sz w:val="28"/>
        </w:rPr>
      </w:pPr>
    </w:p>
    <w:p w:rsidR="00D75C51" w:rsidRDefault="00D75C51" w:rsidP="00300A48">
      <w:pPr>
        <w:spacing w:before="120" w:after="120" w:line="240" w:lineRule="auto"/>
        <w:ind w:left="1456" w:hanging="1033"/>
        <w:rPr>
          <w:rFonts w:eastAsia="標楷體" w:hint="eastAsia"/>
          <w:sz w:val="28"/>
        </w:rPr>
      </w:pPr>
    </w:p>
    <w:p w:rsidR="00E92126" w:rsidRPr="00E92126" w:rsidRDefault="00E92126" w:rsidP="00E92126">
      <w:pPr>
        <w:snapToGrid w:val="0"/>
        <w:spacing w:before="120" w:after="120" w:line="240" w:lineRule="auto"/>
        <w:jc w:val="center"/>
        <w:textAlignment w:val="auto"/>
        <w:rPr>
          <w:rFonts w:eastAsia="標楷體" w:hint="eastAsia"/>
          <w:kern w:val="2"/>
          <w:sz w:val="28"/>
          <w:szCs w:val="24"/>
        </w:rPr>
      </w:pPr>
      <w:r w:rsidRPr="00E92126">
        <w:rPr>
          <w:rFonts w:eastAsia="標楷體"/>
          <w:kern w:val="2"/>
          <w:sz w:val="28"/>
          <w:szCs w:val="24"/>
        </w:rPr>
        <w:t>表一、一氧化碳自動分析儀性能規</w:t>
      </w:r>
      <w:r w:rsidRPr="00E92126">
        <w:rPr>
          <w:rFonts w:eastAsia="標楷體" w:hint="eastAsia"/>
          <w:kern w:val="2"/>
          <w:sz w:val="28"/>
          <w:szCs w:val="24"/>
        </w:rPr>
        <w:t>範</w:t>
      </w:r>
    </w:p>
    <w:tbl>
      <w:tblPr>
        <w:tblW w:w="0" w:type="auto"/>
        <w:tblInd w:w="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8"/>
        <w:gridCol w:w="3790"/>
        <w:gridCol w:w="1620"/>
      </w:tblGrid>
      <w:tr w:rsidR="00E92126" w:rsidRPr="00E92126" w:rsidTr="004972EE">
        <w:tblPrEx>
          <w:tblCellMar>
            <w:top w:w="0" w:type="dxa"/>
            <w:bottom w:w="0" w:type="dxa"/>
          </w:tblCellMar>
        </w:tblPrEx>
        <w:tc>
          <w:tcPr>
            <w:tcW w:w="1108" w:type="dxa"/>
          </w:tcPr>
          <w:p w:rsidR="00E92126" w:rsidRPr="00E92126" w:rsidRDefault="00E92126" w:rsidP="00E92126">
            <w:pPr>
              <w:snapToGrid w:val="0"/>
              <w:spacing w:before="120" w:after="120" w:line="240" w:lineRule="auto"/>
              <w:jc w:val="center"/>
              <w:textAlignment w:val="auto"/>
              <w:rPr>
                <w:rFonts w:eastAsia="標楷體" w:hint="eastAsia"/>
                <w:kern w:val="2"/>
                <w:sz w:val="28"/>
                <w:szCs w:val="24"/>
              </w:rPr>
            </w:pPr>
            <w:r w:rsidRPr="00E92126">
              <w:rPr>
                <w:rFonts w:eastAsia="標楷體" w:hint="eastAsia"/>
                <w:kern w:val="2"/>
                <w:sz w:val="28"/>
                <w:szCs w:val="24"/>
              </w:rPr>
              <w:t>1</w:t>
            </w:r>
          </w:p>
        </w:tc>
        <w:tc>
          <w:tcPr>
            <w:tcW w:w="3790" w:type="dxa"/>
          </w:tcPr>
          <w:p w:rsidR="00E92126" w:rsidRPr="00E92126" w:rsidRDefault="00E92126" w:rsidP="00E92126">
            <w:pPr>
              <w:snapToGrid w:val="0"/>
              <w:spacing w:before="120" w:after="120" w:line="240" w:lineRule="auto"/>
              <w:jc w:val="both"/>
              <w:textAlignment w:val="auto"/>
              <w:rPr>
                <w:rFonts w:eastAsia="標楷體" w:hint="eastAsia"/>
                <w:kern w:val="2"/>
                <w:sz w:val="28"/>
                <w:szCs w:val="24"/>
              </w:rPr>
            </w:pPr>
            <w:r w:rsidRPr="00E92126">
              <w:rPr>
                <w:rFonts w:eastAsia="標楷體" w:hint="eastAsia"/>
                <w:kern w:val="2"/>
                <w:sz w:val="28"/>
                <w:szCs w:val="24"/>
              </w:rPr>
              <w:t>測定範圍</w:t>
            </w:r>
          </w:p>
        </w:tc>
        <w:tc>
          <w:tcPr>
            <w:tcW w:w="1620" w:type="dxa"/>
          </w:tcPr>
          <w:p w:rsidR="00E92126" w:rsidRPr="00E92126" w:rsidRDefault="00E92126" w:rsidP="00E92126">
            <w:pPr>
              <w:snapToGrid w:val="0"/>
              <w:spacing w:before="120" w:after="120" w:line="240" w:lineRule="auto"/>
              <w:jc w:val="center"/>
              <w:textAlignment w:val="auto"/>
              <w:rPr>
                <w:rFonts w:eastAsia="標楷體" w:hint="eastAsia"/>
                <w:kern w:val="2"/>
                <w:sz w:val="28"/>
                <w:szCs w:val="24"/>
              </w:rPr>
            </w:pPr>
            <w:r w:rsidRPr="00E92126">
              <w:rPr>
                <w:rFonts w:eastAsia="標楷體" w:hint="eastAsia"/>
                <w:kern w:val="2"/>
                <w:sz w:val="28"/>
                <w:szCs w:val="24"/>
              </w:rPr>
              <w:t>0.0~50.0 ppm</w:t>
            </w:r>
          </w:p>
        </w:tc>
      </w:tr>
      <w:tr w:rsidR="00E92126" w:rsidRPr="00E92126" w:rsidTr="004972EE">
        <w:tblPrEx>
          <w:tblCellMar>
            <w:top w:w="0" w:type="dxa"/>
            <w:bottom w:w="0" w:type="dxa"/>
          </w:tblCellMar>
        </w:tblPrEx>
        <w:tc>
          <w:tcPr>
            <w:tcW w:w="1108" w:type="dxa"/>
          </w:tcPr>
          <w:p w:rsidR="00E92126" w:rsidRPr="00E92126" w:rsidRDefault="00E92126" w:rsidP="00E92126">
            <w:pPr>
              <w:snapToGrid w:val="0"/>
              <w:spacing w:before="120" w:after="120" w:line="240" w:lineRule="auto"/>
              <w:jc w:val="center"/>
              <w:textAlignment w:val="auto"/>
              <w:rPr>
                <w:rFonts w:eastAsia="標楷體" w:hint="eastAsia"/>
                <w:kern w:val="2"/>
                <w:sz w:val="28"/>
                <w:szCs w:val="24"/>
              </w:rPr>
            </w:pPr>
            <w:r w:rsidRPr="00E92126">
              <w:rPr>
                <w:rFonts w:eastAsia="標楷體" w:hint="eastAsia"/>
                <w:kern w:val="2"/>
                <w:sz w:val="28"/>
                <w:szCs w:val="24"/>
              </w:rPr>
              <w:t>2</w:t>
            </w:r>
          </w:p>
        </w:tc>
        <w:tc>
          <w:tcPr>
            <w:tcW w:w="3790" w:type="dxa"/>
          </w:tcPr>
          <w:p w:rsidR="00E92126" w:rsidRPr="00E92126" w:rsidRDefault="00E92126" w:rsidP="00E92126">
            <w:pPr>
              <w:snapToGrid w:val="0"/>
              <w:spacing w:before="120" w:after="120" w:line="240" w:lineRule="auto"/>
              <w:jc w:val="both"/>
              <w:textAlignment w:val="auto"/>
              <w:rPr>
                <w:rFonts w:eastAsia="標楷體" w:hint="eastAsia"/>
                <w:kern w:val="2"/>
                <w:sz w:val="28"/>
                <w:szCs w:val="24"/>
              </w:rPr>
            </w:pPr>
            <w:r w:rsidRPr="00E92126">
              <w:rPr>
                <w:rFonts w:eastAsia="標楷體" w:hint="eastAsia"/>
                <w:kern w:val="2"/>
                <w:sz w:val="28"/>
                <w:szCs w:val="24"/>
              </w:rPr>
              <w:t>雜訊</w:t>
            </w:r>
          </w:p>
        </w:tc>
        <w:tc>
          <w:tcPr>
            <w:tcW w:w="1620" w:type="dxa"/>
          </w:tcPr>
          <w:p w:rsidR="00E92126" w:rsidRPr="00E92126" w:rsidRDefault="00E92126" w:rsidP="00E92126">
            <w:pPr>
              <w:snapToGrid w:val="0"/>
              <w:spacing w:before="120" w:after="120" w:line="240" w:lineRule="auto"/>
              <w:jc w:val="center"/>
              <w:textAlignment w:val="auto"/>
              <w:rPr>
                <w:rFonts w:eastAsia="標楷體" w:hint="eastAsia"/>
                <w:kern w:val="2"/>
                <w:sz w:val="28"/>
                <w:szCs w:val="24"/>
              </w:rPr>
            </w:pPr>
            <w:r w:rsidRPr="00E92126">
              <w:rPr>
                <w:rFonts w:eastAsia="標楷體" w:hint="eastAsia"/>
                <w:kern w:val="2"/>
                <w:sz w:val="28"/>
                <w:szCs w:val="24"/>
              </w:rPr>
              <w:t>＜</w:t>
            </w:r>
            <w:r w:rsidRPr="00E92126">
              <w:rPr>
                <w:rFonts w:eastAsia="標楷體" w:hint="eastAsia"/>
                <w:kern w:val="2"/>
                <w:sz w:val="28"/>
                <w:szCs w:val="24"/>
              </w:rPr>
              <w:t>0.2 ppm</w:t>
            </w:r>
          </w:p>
        </w:tc>
      </w:tr>
      <w:tr w:rsidR="00E92126" w:rsidRPr="00E92126" w:rsidTr="004972EE">
        <w:tblPrEx>
          <w:tblCellMar>
            <w:top w:w="0" w:type="dxa"/>
            <w:bottom w:w="0" w:type="dxa"/>
          </w:tblCellMar>
        </w:tblPrEx>
        <w:tc>
          <w:tcPr>
            <w:tcW w:w="1108" w:type="dxa"/>
            <w:vAlign w:val="center"/>
          </w:tcPr>
          <w:p w:rsidR="00E92126" w:rsidRPr="00E92126" w:rsidRDefault="00E92126" w:rsidP="00E92126">
            <w:pPr>
              <w:adjustRightInd/>
              <w:snapToGrid w:val="0"/>
              <w:spacing w:before="120" w:after="120" w:line="240" w:lineRule="auto"/>
              <w:jc w:val="center"/>
              <w:textAlignment w:val="auto"/>
              <w:rPr>
                <w:rFonts w:eastAsia="標楷體" w:hint="eastAsia"/>
                <w:kern w:val="2"/>
                <w:sz w:val="28"/>
                <w:szCs w:val="24"/>
              </w:rPr>
            </w:pPr>
            <w:r w:rsidRPr="00E92126">
              <w:rPr>
                <w:rFonts w:eastAsia="標楷體" w:hint="eastAsia"/>
                <w:kern w:val="2"/>
                <w:sz w:val="28"/>
                <w:szCs w:val="24"/>
              </w:rPr>
              <w:t>3</w:t>
            </w:r>
          </w:p>
        </w:tc>
        <w:tc>
          <w:tcPr>
            <w:tcW w:w="3790" w:type="dxa"/>
          </w:tcPr>
          <w:p w:rsidR="00E92126" w:rsidRPr="00E92126" w:rsidRDefault="00E92126" w:rsidP="00E92126">
            <w:pPr>
              <w:adjustRightInd/>
              <w:snapToGrid w:val="0"/>
              <w:spacing w:before="120" w:after="120" w:line="240" w:lineRule="auto"/>
              <w:jc w:val="both"/>
              <w:textAlignment w:val="auto"/>
              <w:rPr>
                <w:rFonts w:eastAsia="標楷體" w:hint="eastAsia"/>
                <w:kern w:val="2"/>
                <w:sz w:val="28"/>
                <w:szCs w:val="24"/>
              </w:rPr>
            </w:pPr>
            <w:r w:rsidRPr="00E92126">
              <w:rPr>
                <w:rFonts w:eastAsia="標楷體" w:hint="eastAsia"/>
                <w:kern w:val="2"/>
                <w:sz w:val="28"/>
                <w:szCs w:val="24"/>
              </w:rPr>
              <w:t>偵測極限</w:t>
            </w:r>
          </w:p>
        </w:tc>
        <w:tc>
          <w:tcPr>
            <w:tcW w:w="1620" w:type="dxa"/>
          </w:tcPr>
          <w:p w:rsidR="00E92126" w:rsidRPr="00E92126" w:rsidRDefault="00E92126" w:rsidP="00E92126">
            <w:pPr>
              <w:snapToGrid w:val="0"/>
              <w:spacing w:before="120" w:after="120" w:line="240" w:lineRule="auto"/>
              <w:jc w:val="center"/>
              <w:textAlignment w:val="auto"/>
              <w:rPr>
                <w:rFonts w:eastAsia="標楷體" w:hint="eastAsia"/>
                <w:kern w:val="2"/>
                <w:sz w:val="28"/>
                <w:szCs w:val="24"/>
              </w:rPr>
            </w:pPr>
            <w:r w:rsidRPr="00E92126">
              <w:rPr>
                <w:rFonts w:eastAsia="標楷體" w:hint="eastAsia"/>
                <w:kern w:val="2"/>
                <w:sz w:val="28"/>
                <w:szCs w:val="24"/>
              </w:rPr>
              <w:t>＜</w:t>
            </w:r>
            <w:r w:rsidRPr="00E92126">
              <w:rPr>
                <w:rFonts w:eastAsia="標楷體" w:hint="eastAsia"/>
                <w:kern w:val="2"/>
                <w:sz w:val="28"/>
                <w:szCs w:val="24"/>
              </w:rPr>
              <w:t>0.4 ppm</w:t>
            </w:r>
          </w:p>
        </w:tc>
      </w:tr>
      <w:tr w:rsidR="00E92126" w:rsidRPr="00E92126" w:rsidTr="004972EE">
        <w:tblPrEx>
          <w:tblCellMar>
            <w:top w:w="0" w:type="dxa"/>
            <w:bottom w:w="0" w:type="dxa"/>
          </w:tblCellMar>
        </w:tblPrEx>
        <w:trPr>
          <w:cantSplit/>
        </w:trPr>
        <w:tc>
          <w:tcPr>
            <w:tcW w:w="1108" w:type="dxa"/>
            <w:vMerge w:val="restart"/>
          </w:tcPr>
          <w:p w:rsidR="00E92126" w:rsidRPr="00E92126" w:rsidRDefault="00E92126" w:rsidP="00E92126">
            <w:pPr>
              <w:snapToGrid w:val="0"/>
              <w:spacing w:before="120" w:after="120" w:line="240" w:lineRule="auto"/>
              <w:jc w:val="center"/>
              <w:textAlignment w:val="auto"/>
              <w:rPr>
                <w:rFonts w:eastAsia="標楷體" w:hint="eastAsia"/>
                <w:kern w:val="2"/>
                <w:sz w:val="28"/>
                <w:szCs w:val="24"/>
              </w:rPr>
            </w:pPr>
            <w:r w:rsidRPr="00E92126">
              <w:rPr>
                <w:rFonts w:eastAsia="標楷體" w:hint="eastAsia"/>
                <w:kern w:val="2"/>
                <w:sz w:val="28"/>
                <w:szCs w:val="24"/>
              </w:rPr>
              <w:t>4</w:t>
            </w:r>
          </w:p>
        </w:tc>
        <w:tc>
          <w:tcPr>
            <w:tcW w:w="5410" w:type="dxa"/>
            <w:gridSpan w:val="2"/>
          </w:tcPr>
          <w:p w:rsidR="00E92126" w:rsidRPr="00E92126" w:rsidRDefault="00E92126" w:rsidP="00E92126">
            <w:pPr>
              <w:snapToGrid w:val="0"/>
              <w:spacing w:before="120" w:after="120" w:line="240" w:lineRule="auto"/>
              <w:jc w:val="both"/>
              <w:textAlignment w:val="auto"/>
              <w:rPr>
                <w:rFonts w:eastAsia="標楷體" w:hint="eastAsia"/>
                <w:kern w:val="2"/>
                <w:sz w:val="28"/>
                <w:szCs w:val="24"/>
              </w:rPr>
            </w:pPr>
            <w:r w:rsidRPr="00E92126">
              <w:rPr>
                <w:rFonts w:eastAsia="標楷體" w:hint="eastAsia"/>
                <w:kern w:val="2"/>
                <w:sz w:val="28"/>
                <w:szCs w:val="24"/>
              </w:rPr>
              <w:t>干擾當量</w:t>
            </w:r>
          </w:p>
        </w:tc>
      </w:tr>
      <w:tr w:rsidR="00E92126" w:rsidRPr="00E92126" w:rsidTr="004972EE">
        <w:tblPrEx>
          <w:tblCellMar>
            <w:top w:w="0" w:type="dxa"/>
            <w:bottom w:w="0" w:type="dxa"/>
          </w:tblCellMar>
        </w:tblPrEx>
        <w:trPr>
          <w:cantSplit/>
        </w:trPr>
        <w:tc>
          <w:tcPr>
            <w:tcW w:w="1108" w:type="dxa"/>
            <w:vMerge/>
          </w:tcPr>
          <w:p w:rsidR="00E92126" w:rsidRPr="00E92126" w:rsidRDefault="00E92126" w:rsidP="00E92126">
            <w:pPr>
              <w:snapToGrid w:val="0"/>
              <w:spacing w:before="120" w:after="120" w:line="240" w:lineRule="auto"/>
              <w:jc w:val="center"/>
              <w:textAlignment w:val="auto"/>
              <w:rPr>
                <w:rFonts w:eastAsia="標楷體" w:hint="eastAsia"/>
                <w:kern w:val="2"/>
                <w:sz w:val="28"/>
                <w:szCs w:val="24"/>
              </w:rPr>
            </w:pPr>
          </w:p>
        </w:tc>
        <w:tc>
          <w:tcPr>
            <w:tcW w:w="3790" w:type="dxa"/>
          </w:tcPr>
          <w:p w:rsidR="00E92126" w:rsidRPr="00E92126" w:rsidRDefault="00E92126" w:rsidP="00E92126">
            <w:pPr>
              <w:snapToGrid w:val="0"/>
              <w:spacing w:before="120" w:after="120" w:line="240" w:lineRule="auto"/>
              <w:jc w:val="both"/>
              <w:textAlignment w:val="auto"/>
              <w:rPr>
                <w:rFonts w:eastAsia="標楷體" w:hint="eastAsia"/>
                <w:kern w:val="2"/>
                <w:sz w:val="28"/>
                <w:szCs w:val="24"/>
              </w:rPr>
            </w:pPr>
            <w:r w:rsidRPr="00E92126">
              <w:rPr>
                <w:rFonts w:eastAsia="標楷體" w:hint="eastAsia"/>
                <w:kern w:val="2"/>
                <w:sz w:val="28"/>
                <w:szCs w:val="24"/>
              </w:rPr>
              <w:t>單一當量</w:t>
            </w:r>
          </w:p>
        </w:tc>
        <w:tc>
          <w:tcPr>
            <w:tcW w:w="1620" w:type="dxa"/>
          </w:tcPr>
          <w:p w:rsidR="00E92126" w:rsidRPr="00E92126" w:rsidRDefault="00E92126" w:rsidP="00E92126">
            <w:pPr>
              <w:snapToGrid w:val="0"/>
              <w:spacing w:before="120" w:after="120" w:line="240" w:lineRule="auto"/>
              <w:jc w:val="center"/>
              <w:textAlignment w:val="auto"/>
              <w:rPr>
                <w:rFonts w:eastAsia="標楷體" w:hint="eastAsia"/>
                <w:kern w:val="2"/>
                <w:sz w:val="28"/>
                <w:szCs w:val="24"/>
              </w:rPr>
            </w:pPr>
            <w:r w:rsidRPr="00E92126">
              <w:rPr>
                <w:rFonts w:eastAsia="標楷體" w:hint="eastAsia"/>
                <w:kern w:val="2"/>
                <w:sz w:val="28"/>
                <w:szCs w:val="24"/>
              </w:rPr>
              <w:t>±</w:t>
            </w:r>
            <w:r w:rsidRPr="00E92126">
              <w:rPr>
                <w:rFonts w:eastAsia="標楷體" w:hint="eastAsia"/>
                <w:kern w:val="2"/>
                <w:sz w:val="28"/>
                <w:szCs w:val="24"/>
              </w:rPr>
              <w:t>1.0 ppm</w:t>
            </w:r>
          </w:p>
        </w:tc>
      </w:tr>
      <w:tr w:rsidR="00E92126" w:rsidRPr="00E92126" w:rsidTr="004972EE">
        <w:tblPrEx>
          <w:tblCellMar>
            <w:top w:w="0" w:type="dxa"/>
            <w:bottom w:w="0" w:type="dxa"/>
          </w:tblCellMar>
        </w:tblPrEx>
        <w:trPr>
          <w:cantSplit/>
        </w:trPr>
        <w:tc>
          <w:tcPr>
            <w:tcW w:w="1108" w:type="dxa"/>
            <w:vMerge/>
          </w:tcPr>
          <w:p w:rsidR="00E92126" w:rsidRPr="00E92126" w:rsidRDefault="00E92126" w:rsidP="00E92126">
            <w:pPr>
              <w:snapToGrid w:val="0"/>
              <w:spacing w:before="120" w:after="120" w:line="240" w:lineRule="auto"/>
              <w:jc w:val="center"/>
              <w:textAlignment w:val="auto"/>
              <w:rPr>
                <w:rFonts w:eastAsia="標楷體" w:hint="eastAsia"/>
                <w:kern w:val="2"/>
                <w:sz w:val="28"/>
                <w:szCs w:val="24"/>
              </w:rPr>
            </w:pPr>
          </w:p>
        </w:tc>
        <w:tc>
          <w:tcPr>
            <w:tcW w:w="3790" w:type="dxa"/>
          </w:tcPr>
          <w:p w:rsidR="00E92126" w:rsidRPr="00E92126" w:rsidRDefault="00E92126" w:rsidP="00E92126">
            <w:pPr>
              <w:snapToGrid w:val="0"/>
              <w:spacing w:before="120" w:after="120" w:line="240" w:lineRule="auto"/>
              <w:jc w:val="both"/>
              <w:textAlignment w:val="auto"/>
              <w:rPr>
                <w:rFonts w:eastAsia="標楷體" w:hint="eastAsia"/>
                <w:kern w:val="2"/>
                <w:sz w:val="28"/>
                <w:szCs w:val="24"/>
              </w:rPr>
            </w:pPr>
            <w:r w:rsidRPr="00E92126">
              <w:rPr>
                <w:rFonts w:eastAsia="標楷體" w:hint="eastAsia"/>
                <w:kern w:val="2"/>
                <w:sz w:val="28"/>
                <w:szCs w:val="24"/>
              </w:rPr>
              <w:t>總當量</w:t>
            </w:r>
          </w:p>
        </w:tc>
        <w:tc>
          <w:tcPr>
            <w:tcW w:w="1620" w:type="dxa"/>
          </w:tcPr>
          <w:p w:rsidR="00E92126" w:rsidRPr="00E92126" w:rsidRDefault="00E92126" w:rsidP="00E92126">
            <w:pPr>
              <w:snapToGrid w:val="0"/>
              <w:spacing w:before="120" w:after="120" w:line="240" w:lineRule="auto"/>
              <w:jc w:val="center"/>
              <w:textAlignment w:val="auto"/>
              <w:rPr>
                <w:rFonts w:eastAsia="標楷體" w:hint="eastAsia"/>
                <w:kern w:val="2"/>
                <w:sz w:val="28"/>
                <w:szCs w:val="24"/>
              </w:rPr>
            </w:pPr>
            <w:r w:rsidRPr="00E92126">
              <w:rPr>
                <w:rFonts w:eastAsia="標楷體" w:hint="eastAsia"/>
                <w:kern w:val="2"/>
                <w:sz w:val="28"/>
                <w:szCs w:val="24"/>
              </w:rPr>
              <w:t>---</w:t>
            </w:r>
          </w:p>
        </w:tc>
      </w:tr>
      <w:tr w:rsidR="00E92126" w:rsidRPr="00E92126" w:rsidTr="004972EE">
        <w:tblPrEx>
          <w:tblCellMar>
            <w:top w:w="0" w:type="dxa"/>
            <w:bottom w:w="0" w:type="dxa"/>
          </w:tblCellMar>
        </w:tblPrEx>
        <w:tc>
          <w:tcPr>
            <w:tcW w:w="1108" w:type="dxa"/>
          </w:tcPr>
          <w:p w:rsidR="00E92126" w:rsidRPr="00E92126" w:rsidRDefault="00E92126" w:rsidP="00E92126">
            <w:pPr>
              <w:snapToGrid w:val="0"/>
              <w:spacing w:before="120" w:after="120" w:line="240" w:lineRule="auto"/>
              <w:jc w:val="center"/>
              <w:textAlignment w:val="auto"/>
              <w:rPr>
                <w:rFonts w:eastAsia="標楷體" w:hint="eastAsia"/>
                <w:kern w:val="2"/>
                <w:sz w:val="28"/>
                <w:szCs w:val="24"/>
              </w:rPr>
            </w:pPr>
            <w:r w:rsidRPr="00E92126">
              <w:rPr>
                <w:rFonts w:eastAsia="標楷體" w:hint="eastAsia"/>
                <w:kern w:val="2"/>
                <w:sz w:val="28"/>
                <w:szCs w:val="24"/>
              </w:rPr>
              <w:t>5</w:t>
            </w:r>
          </w:p>
        </w:tc>
        <w:tc>
          <w:tcPr>
            <w:tcW w:w="3790" w:type="dxa"/>
          </w:tcPr>
          <w:p w:rsidR="00E92126" w:rsidRPr="00E92126" w:rsidRDefault="00E92126" w:rsidP="00E92126">
            <w:pPr>
              <w:snapToGrid w:val="0"/>
              <w:spacing w:before="120" w:after="120" w:line="240" w:lineRule="auto"/>
              <w:jc w:val="both"/>
              <w:textAlignment w:val="auto"/>
              <w:rPr>
                <w:rFonts w:eastAsia="標楷體" w:hint="eastAsia"/>
                <w:kern w:val="2"/>
                <w:sz w:val="28"/>
                <w:szCs w:val="24"/>
              </w:rPr>
            </w:pPr>
            <w:r w:rsidRPr="00E92126">
              <w:rPr>
                <w:rFonts w:eastAsia="標楷體" w:hint="eastAsia"/>
                <w:kern w:val="2"/>
                <w:sz w:val="28"/>
                <w:szCs w:val="24"/>
              </w:rPr>
              <w:t>零點偏移</w:t>
            </w:r>
          </w:p>
        </w:tc>
        <w:tc>
          <w:tcPr>
            <w:tcW w:w="1620" w:type="dxa"/>
          </w:tcPr>
          <w:p w:rsidR="00E92126" w:rsidRPr="00E92126" w:rsidRDefault="00E92126" w:rsidP="00E92126">
            <w:pPr>
              <w:snapToGrid w:val="0"/>
              <w:spacing w:before="120" w:after="120" w:line="240" w:lineRule="auto"/>
              <w:jc w:val="center"/>
              <w:textAlignment w:val="auto"/>
              <w:rPr>
                <w:rFonts w:eastAsia="標楷體" w:hint="eastAsia"/>
                <w:kern w:val="2"/>
                <w:sz w:val="28"/>
                <w:szCs w:val="24"/>
              </w:rPr>
            </w:pPr>
            <w:r w:rsidRPr="00E92126">
              <w:rPr>
                <w:rFonts w:eastAsia="標楷體" w:hint="eastAsia"/>
                <w:kern w:val="2"/>
                <w:sz w:val="28"/>
                <w:szCs w:val="24"/>
              </w:rPr>
              <w:t>±</w:t>
            </w:r>
            <w:r w:rsidRPr="00E92126">
              <w:rPr>
                <w:rFonts w:eastAsia="標楷體" w:hint="eastAsia"/>
                <w:kern w:val="2"/>
                <w:sz w:val="28"/>
                <w:szCs w:val="24"/>
              </w:rPr>
              <w:t>0.5 ppm</w:t>
            </w:r>
          </w:p>
        </w:tc>
      </w:tr>
      <w:tr w:rsidR="00E92126" w:rsidRPr="00E92126" w:rsidTr="004972EE">
        <w:tblPrEx>
          <w:tblCellMar>
            <w:top w:w="0" w:type="dxa"/>
            <w:bottom w:w="0" w:type="dxa"/>
          </w:tblCellMar>
        </w:tblPrEx>
        <w:trPr>
          <w:cantSplit/>
        </w:trPr>
        <w:tc>
          <w:tcPr>
            <w:tcW w:w="1108" w:type="dxa"/>
            <w:vMerge w:val="restart"/>
          </w:tcPr>
          <w:p w:rsidR="00E92126" w:rsidRPr="00E92126" w:rsidRDefault="00E92126" w:rsidP="00E92126">
            <w:pPr>
              <w:snapToGrid w:val="0"/>
              <w:spacing w:before="120" w:after="120" w:line="240" w:lineRule="auto"/>
              <w:jc w:val="center"/>
              <w:textAlignment w:val="auto"/>
              <w:rPr>
                <w:rFonts w:eastAsia="標楷體" w:hint="eastAsia"/>
                <w:kern w:val="2"/>
                <w:sz w:val="28"/>
                <w:szCs w:val="24"/>
              </w:rPr>
            </w:pPr>
            <w:r w:rsidRPr="00E92126">
              <w:rPr>
                <w:rFonts w:eastAsia="標楷體" w:hint="eastAsia"/>
                <w:kern w:val="2"/>
                <w:sz w:val="28"/>
                <w:szCs w:val="24"/>
              </w:rPr>
              <w:t>6</w:t>
            </w:r>
          </w:p>
        </w:tc>
        <w:tc>
          <w:tcPr>
            <w:tcW w:w="5410" w:type="dxa"/>
            <w:gridSpan w:val="2"/>
          </w:tcPr>
          <w:p w:rsidR="00E92126" w:rsidRPr="00E92126" w:rsidRDefault="00E92126" w:rsidP="00E92126">
            <w:pPr>
              <w:snapToGrid w:val="0"/>
              <w:spacing w:before="120" w:after="120" w:line="240" w:lineRule="auto"/>
              <w:jc w:val="both"/>
              <w:textAlignment w:val="auto"/>
              <w:rPr>
                <w:rFonts w:eastAsia="標楷體" w:hint="eastAsia"/>
                <w:kern w:val="2"/>
                <w:sz w:val="28"/>
                <w:szCs w:val="24"/>
              </w:rPr>
            </w:pPr>
            <w:r w:rsidRPr="00E92126">
              <w:rPr>
                <w:rFonts w:eastAsia="標楷體" w:hint="eastAsia"/>
                <w:kern w:val="2"/>
                <w:sz w:val="28"/>
                <w:szCs w:val="24"/>
              </w:rPr>
              <w:t>全幅偏移</w:t>
            </w:r>
          </w:p>
        </w:tc>
      </w:tr>
      <w:tr w:rsidR="00E92126" w:rsidRPr="00E92126" w:rsidTr="004972EE">
        <w:tblPrEx>
          <w:tblCellMar>
            <w:top w:w="0" w:type="dxa"/>
            <w:bottom w:w="0" w:type="dxa"/>
          </w:tblCellMar>
        </w:tblPrEx>
        <w:trPr>
          <w:cantSplit/>
        </w:trPr>
        <w:tc>
          <w:tcPr>
            <w:tcW w:w="1108" w:type="dxa"/>
            <w:vMerge/>
          </w:tcPr>
          <w:p w:rsidR="00E92126" w:rsidRPr="00E92126" w:rsidRDefault="00E92126" w:rsidP="00E92126">
            <w:pPr>
              <w:snapToGrid w:val="0"/>
              <w:spacing w:before="120" w:after="120" w:line="240" w:lineRule="auto"/>
              <w:jc w:val="center"/>
              <w:textAlignment w:val="auto"/>
              <w:rPr>
                <w:rFonts w:eastAsia="標楷體" w:hint="eastAsia"/>
                <w:kern w:val="2"/>
                <w:sz w:val="28"/>
                <w:szCs w:val="24"/>
              </w:rPr>
            </w:pPr>
          </w:p>
        </w:tc>
        <w:tc>
          <w:tcPr>
            <w:tcW w:w="3790" w:type="dxa"/>
          </w:tcPr>
          <w:p w:rsidR="00E92126" w:rsidRPr="00E92126" w:rsidRDefault="00E92126" w:rsidP="00E92126">
            <w:pPr>
              <w:snapToGrid w:val="0"/>
              <w:spacing w:before="120" w:after="120" w:line="240" w:lineRule="auto"/>
              <w:jc w:val="both"/>
              <w:textAlignment w:val="auto"/>
              <w:rPr>
                <w:rFonts w:eastAsia="標楷體" w:hint="eastAsia"/>
                <w:kern w:val="2"/>
                <w:sz w:val="28"/>
                <w:szCs w:val="24"/>
              </w:rPr>
            </w:pPr>
            <w:r w:rsidRPr="00E92126">
              <w:rPr>
                <w:rFonts w:eastAsia="標楷體" w:hint="eastAsia"/>
                <w:kern w:val="2"/>
                <w:sz w:val="28"/>
                <w:szCs w:val="24"/>
              </w:rPr>
              <w:t>上限濃度之</w:t>
            </w:r>
            <w:r w:rsidRPr="00E92126">
              <w:rPr>
                <w:rFonts w:eastAsia="標楷體" w:hint="eastAsia"/>
                <w:kern w:val="2"/>
                <w:sz w:val="28"/>
                <w:szCs w:val="24"/>
              </w:rPr>
              <w:t>20%</w:t>
            </w:r>
          </w:p>
        </w:tc>
        <w:tc>
          <w:tcPr>
            <w:tcW w:w="1620" w:type="dxa"/>
          </w:tcPr>
          <w:p w:rsidR="00E92126" w:rsidRPr="00E92126" w:rsidRDefault="00E92126" w:rsidP="00E92126">
            <w:pPr>
              <w:snapToGrid w:val="0"/>
              <w:spacing w:before="120" w:after="120" w:line="240" w:lineRule="auto"/>
              <w:jc w:val="center"/>
              <w:textAlignment w:val="auto"/>
              <w:rPr>
                <w:rFonts w:eastAsia="標楷體" w:hint="eastAsia"/>
                <w:kern w:val="2"/>
                <w:sz w:val="28"/>
                <w:szCs w:val="24"/>
              </w:rPr>
            </w:pPr>
            <w:r w:rsidRPr="00E92126">
              <w:rPr>
                <w:rFonts w:eastAsia="標楷體" w:hint="eastAsia"/>
                <w:kern w:val="2"/>
                <w:sz w:val="28"/>
                <w:szCs w:val="24"/>
              </w:rPr>
              <w:t>---</w:t>
            </w:r>
          </w:p>
        </w:tc>
      </w:tr>
      <w:tr w:rsidR="00E92126" w:rsidRPr="00E92126" w:rsidTr="004972EE">
        <w:tblPrEx>
          <w:tblCellMar>
            <w:top w:w="0" w:type="dxa"/>
            <w:bottom w:w="0" w:type="dxa"/>
          </w:tblCellMar>
        </w:tblPrEx>
        <w:trPr>
          <w:cantSplit/>
        </w:trPr>
        <w:tc>
          <w:tcPr>
            <w:tcW w:w="1108" w:type="dxa"/>
            <w:vMerge/>
          </w:tcPr>
          <w:p w:rsidR="00E92126" w:rsidRPr="00E92126" w:rsidRDefault="00E92126" w:rsidP="00E92126">
            <w:pPr>
              <w:snapToGrid w:val="0"/>
              <w:spacing w:before="120" w:after="120" w:line="240" w:lineRule="auto"/>
              <w:jc w:val="center"/>
              <w:textAlignment w:val="auto"/>
              <w:rPr>
                <w:rFonts w:eastAsia="標楷體" w:hint="eastAsia"/>
                <w:kern w:val="2"/>
                <w:sz w:val="28"/>
                <w:szCs w:val="24"/>
              </w:rPr>
            </w:pPr>
          </w:p>
        </w:tc>
        <w:tc>
          <w:tcPr>
            <w:tcW w:w="3790" w:type="dxa"/>
          </w:tcPr>
          <w:p w:rsidR="00E92126" w:rsidRPr="00E92126" w:rsidRDefault="00E92126" w:rsidP="00E92126">
            <w:pPr>
              <w:snapToGrid w:val="0"/>
              <w:spacing w:before="120" w:after="120" w:line="240" w:lineRule="auto"/>
              <w:jc w:val="both"/>
              <w:textAlignment w:val="auto"/>
              <w:rPr>
                <w:rFonts w:eastAsia="標楷體" w:hint="eastAsia"/>
                <w:kern w:val="2"/>
                <w:sz w:val="28"/>
                <w:szCs w:val="24"/>
              </w:rPr>
            </w:pPr>
            <w:r w:rsidRPr="00E92126">
              <w:rPr>
                <w:rFonts w:eastAsia="標楷體" w:hint="eastAsia"/>
                <w:kern w:val="2"/>
                <w:sz w:val="28"/>
                <w:szCs w:val="24"/>
              </w:rPr>
              <w:t>上限濃度之</w:t>
            </w:r>
            <w:r w:rsidRPr="00E92126">
              <w:rPr>
                <w:rFonts w:eastAsia="標楷體" w:hint="eastAsia"/>
                <w:kern w:val="2"/>
                <w:sz w:val="28"/>
                <w:szCs w:val="24"/>
              </w:rPr>
              <w:t>80%</w:t>
            </w:r>
          </w:p>
        </w:tc>
        <w:tc>
          <w:tcPr>
            <w:tcW w:w="1620" w:type="dxa"/>
          </w:tcPr>
          <w:p w:rsidR="00E92126" w:rsidRPr="00E92126" w:rsidRDefault="00E92126" w:rsidP="00E92126">
            <w:pPr>
              <w:snapToGrid w:val="0"/>
              <w:spacing w:before="120" w:after="120" w:line="240" w:lineRule="auto"/>
              <w:jc w:val="center"/>
              <w:textAlignment w:val="auto"/>
              <w:rPr>
                <w:rFonts w:eastAsia="標楷體" w:hint="eastAsia"/>
                <w:kern w:val="2"/>
                <w:sz w:val="28"/>
                <w:szCs w:val="24"/>
              </w:rPr>
            </w:pPr>
            <w:r w:rsidRPr="00E92126">
              <w:rPr>
                <w:rFonts w:eastAsia="標楷體" w:hint="eastAsia"/>
                <w:kern w:val="2"/>
                <w:sz w:val="28"/>
                <w:szCs w:val="24"/>
              </w:rPr>
              <w:t>±</w:t>
            </w:r>
            <w:r w:rsidRPr="00E92126">
              <w:rPr>
                <w:rFonts w:eastAsia="標楷體" w:hint="eastAsia"/>
                <w:kern w:val="2"/>
                <w:sz w:val="28"/>
                <w:szCs w:val="24"/>
              </w:rPr>
              <w:t>2.0 %</w:t>
            </w:r>
          </w:p>
        </w:tc>
      </w:tr>
      <w:tr w:rsidR="00E92126" w:rsidRPr="00E92126" w:rsidTr="004972EE">
        <w:tblPrEx>
          <w:tblCellMar>
            <w:top w:w="0" w:type="dxa"/>
            <w:bottom w:w="0" w:type="dxa"/>
          </w:tblCellMar>
        </w:tblPrEx>
        <w:tc>
          <w:tcPr>
            <w:tcW w:w="1108" w:type="dxa"/>
          </w:tcPr>
          <w:p w:rsidR="00E92126" w:rsidRPr="00E92126" w:rsidRDefault="00E92126" w:rsidP="00E92126">
            <w:pPr>
              <w:snapToGrid w:val="0"/>
              <w:spacing w:before="120" w:after="120" w:line="240" w:lineRule="auto"/>
              <w:jc w:val="center"/>
              <w:textAlignment w:val="auto"/>
              <w:rPr>
                <w:rFonts w:eastAsia="標楷體" w:hint="eastAsia"/>
                <w:kern w:val="2"/>
                <w:sz w:val="28"/>
                <w:szCs w:val="24"/>
              </w:rPr>
            </w:pPr>
            <w:r w:rsidRPr="00E92126">
              <w:rPr>
                <w:rFonts w:eastAsia="標楷體" w:hint="eastAsia"/>
                <w:kern w:val="2"/>
                <w:sz w:val="28"/>
                <w:szCs w:val="24"/>
              </w:rPr>
              <w:t>7</w:t>
            </w:r>
          </w:p>
        </w:tc>
        <w:tc>
          <w:tcPr>
            <w:tcW w:w="3790" w:type="dxa"/>
          </w:tcPr>
          <w:p w:rsidR="00E92126" w:rsidRPr="00E92126" w:rsidRDefault="00E92126" w:rsidP="00E92126">
            <w:pPr>
              <w:snapToGrid w:val="0"/>
              <w:spacing w:before="120" w:after="120" w:line="240" w:lineRule="auto"/>
              <w:jc w:val="both"/>
              <w:textAlignment w:val="auto"/>
              <w:rPr>
                <w:rFonts w:eastAsia="標楷體" w:hint="eastAsia"/>
                <w:kern w:val="2"/>
                <w:sz w:val="28"/>
                <w:szCs w:val="24"/>
              </w:rPr>
            </w:pPr>
            <w:r w:rsidRPr="00E92126">
              <w:rPr>
                <w:rFonts w:eastAsia="標楷體" w:hint="eastAsia"/>
                <w:kern w:val="2"/>
                <w:sz w:val="28"/>
                <w:szCs w:val="24"/>
              </w:rPr>
              <w:t>遲滯時間</w:t>
            </w:r>
          </w:p>
        </w:tc>
        <w:tc>
          <w:tcPr>
            <w:tcW w:w="1620" w:type="dxa"/>
          </w:tcPr>
          <w:p w:rsidR="00E92126" w:rsidRPr="00E92126" w:rsidRDefault="00E92126" w:rsidP="00E92126">
            <w:pPr>
              <w:snapToGrid w:val="0"/>
              <w:spacing w:before="120" w:after="120" w:line="240" w:lineRule="auto"/>
              <w:jc w:val="center"/>
              <w:textAlignment w:val="auto"/>
              <w:rPr>
                <w:rFonts w:eastAsia="標楷體" w:hint="eastAsia"/>
                <w:kern w:val="2"/>
                <w:sz w:val="28"/>
                <w:szCs w:val="24"/>
              </w:rPr>
            </w:pPr>
            <w:r w:rsidRPr="00E92126">
              <w:rPr>
                <w:rFonts w:eastAsia="標楷體" w:hint="eastAsia"/>
                <w:kern w:val="2"/>
                <w:sz w:val="28"/>
                <w:szCs w:val="24"/>
              </w:rPr>
              <w:t>＜</w:t>
            </w:r>
            <w:r w:rsidRPr="00E92126">
              <w:rPr>
                <w:rFonts w:eastAsia="標楷體" w:hint="eastAsia"/>
                <w:kern w:val="2"/>
                <w:sz w:val="28"/>
                <w:szCs w:val="24"/>
              </w:rPr>
              <w:t>2.0 min</w:t>
            </w:r>
          </w:p>
        </w:tc>
      </w:tr>
      <w:tr w:rsidR="00E92126" w:rsidRPr="00E92126" w:rsidTr="004972EE">
        <w:tblPrEx>
          <w:tblCellMar>
            <w:top w:w="0" w:type="dxa"/>
            <w:bottom w:w="0" w:type="dxa"/>
          </w:tblCellMar>
        </w:tblPrEx>
        <w:tc>
          <w:tcPr>
            <w:tcW w:w="1108" w:type="dxa"/>
          </w:tcPr>
          <w:p w:rsidR="00E92126" w:rsidRPr="00E92126" w:rsidRDefault="00E92126" w:rsidP="00E92126">
            <w:pPr>
              <w:snapToGrid w:val="0"/>
              <w:spacing w:before="120" w:after="120" w:line="240" w:lineRule="auto"/>
              <w:jc w:val="center"/>
              <w:textAlignment w:val="auto"/>
              <w:rPr>
                <w:rFonts w:eastAsia="標楷體" w:hint="eastAsia"/>
                <w:kern w:val="2"/>
                <w:sz w:val="28"/>
                <w:szCs w:val="24"/>
              </w:rPr>
            </w:pPr>
            <w:r w:rsidRPr="00E92126">
              <w:rPr>
                <w:rFonts w:eastAsia="標楷體" w:hint="eastAsia"/>
                <w:kern w:val="2"/>
                <w:sz w:val="28"/>
                <w:szCs w:val="24"/>
              </w:rPr>
              <w:t>8</w:t>
            </w:r>
          </w:p>
        </w:tc>
        <w:tc>
          <w:tcPr>
            <w:tcW w:w="3790" w:type="dxa"/>
          </w:tcPr>
          <w:p w:rsidR="00E92126" w:rsidRPr="00E92126" w:rsidRDefault="00E92126" w:rsidP="00E92126">
            <w:pPr>
              <w:snapToGrid w:val="0"/>
              <w:spacing w:before="120" w:after="120" w:line="240" w:lineRule="auto"/>
              <w:jc w:val="both"/>
              <w:textAlignment w:val="auto"/>
              <w:rPr>
                <w:rFonts w:eastAsia="標楷體" w:hint="eastAsia"/>
                <w:kern w:val="2"/>
                <w:sz w:val="28"/>
                <w:szCs w:val="24"/>
              </w:rPr>
            </w:pPr>
            <w:r w:rsidRPr="00E92126">
              <w:rPr>
                <w:rFonts w:eastAsia="標楷體" w:hint="eastAsia"/>
                <w:kern w:val="2"/>
                <w:sz w:val="28"/>
                <w:szCs w:val="24"/>
              </w:rPr>
              <w:t>上升時間</w:t>
            </w:r>
          </w:p>
        </w:tc>
        <w:tc>
          <w:tcPr>
            <w:tcW w:w="1620" w:type="dxa"/>
          </w:tcPr>
          <w:p w:rsidR="00E92126" w:rsidRPr="00E92126" w:rsidRDefault="00E92126" w:rsidP="00E92126">
            <w:pPr>
              <w:snapToGrid w:val="0"/>
              <w:spacing w:before="120" w:after="120" w:line="240" w:lineRule="auto"/>
              <w:jc w:val="center"/>
              <w:textAlignment w:val="auto"/>
              <w:rPr>
                <w:rFonts w:eastAsia="標楷體" w:hint="eastAsia"/>
                <w:kern w:val="2"/>
                <w:sz w:val="28"/>
                <w:szCs w:val="24"/>
              </w:rPr>
            </w:pPr>
            <w:r w:rsidRPr="00E92126">
              <w:rPr>
                <w:rFonts w:eastAsia="標楷體" w:hint="eastAsia"/>
                <w:kern w:val="2"/>
                <w:sz w:val="28"/>
                <w:szCs w:val="24"/>
              </w:rPr>
              <w:t>＜</w:t>
            </w:r>
            <w:r w:rsidRPr="00E92126">
              <w:rPr>
                <w:rFonts w:eastAsia="標楷體" w:hint="eastAsia"/>
                <w:kern w:val="2"/>
                <w:sz w:val="28"/>
                <w:szCs w:val="24"/>
              </w:rPr>
              <w:t>2.0 min</w:t>
            </w:r>
          </w:p>
        </w:tc>
      </w:tr>
      <w:tr w:rsidR="00E92126" w:rsidRPr="00E92126" w:rsidTr="004972EE">
        <w:tblPrEx>
          <w:tblCellMar>
            <w:top w:w="0" w:type="dxa"/>
            <w:bottom w:w="0" w:type="dxa"/>
          </w:tblCellMar>
        </w:tblPrEx>
        <w:tc>
          <w:tcPr>
            <w:tcW w:w="1108" w:type="dxa"/>
          </w:tcPr>
          <w:p w:rsidR="00E92126" w:rsidRPr="00E92126" w:rsidRDefault="00E92126" w:rsidP="00E92126">
            <w:pPr>
              <w:snapToGrid w:val="0"/>
              <w:spacing w:before="120" w:after="120" w:line="240" w:lineRule="auto"/>
              <w:jc w:val="center"/>
              <w:textAlignment w:val="auto"/>
              <w:rPr>
                <w:rFonts w:eastAsia="標楷體" w:hint="eastAsia"/>
                <w:kern w:val="2"/>
                <w:sz w:val="28"/>
                <w:szCs w:val="24"/>
              </w:rPr>
            </w:pPr>
            <w:r w:rsidRPr="00E92126">
              <w:rPr>
                <w:rFonts w:eastAsia="標楷體" w:hint="eastAsia"/>
                <w:kern w:val="2"/>
                <w:sz w:val="28"/>
                <w:szCs w:val="24"/>
              </w:rPr>
              <w:t>9</w:t>
            </w:r>
          </w:p>
        </w:tc>
        <w:tc>
          <w:tcPr>
            <w:tcW w:w="3790" w:type="dxa"/>
          </w:tcPr>
          <w:p w:rsidR="00E92126" w:rsidRPr="00E92126" w:rsidRDefault="00E92126" w:rsidP="00E92126">
            <w:pPr>
              <w:snapToGrid w:val="0"/>
              <w:spacing w:before="120" w:after="120" w:line="240" w:lineRule="auto"/>
              <w:jc w:val="both"/>
              <w:textAlignment w:val="auto"/>
              <w:rPr>
                <w:rFonts w:eastAsia="標楷體" w:hint="eastAsia"/>
                <w:kern w:val="2"/>
                <w:sz w:val="28"/>
                <w:szCs w:val="24"/>
              </w:rPr>
            </w:pPr>
            <w:r w:rsidRPr="00E92126">
              <w:rPr>
                <w:rFonts w:eastAsia="標楷體" w:hint="eastAsia"/>
                <w:kern w:val="2"/>
                <w:sz w:val="28"/>
                <w:szCs w:val="24"/>
              </w:rPr>
              <w:t>下降時間</w:t>
            </w:r>
          </w:p>
        </w:tc>
        <w:tc>
          <w:tcPr>
            <w:tcW w:w="1620" w:type="dxa"/>
          </w:tcPr>
          <w:p w:rsidR="00E92126" w:rsidRPr="00E92126" w:rsidRDefault="00E92126" w:rsidP="00E92126">
            <w:pPr>
              <w:snapToGrid w:val="0"/>
              <w:spacing w:before="120" w:after="120" w:line="240" w:lineRule="auto"/>
              <w:jc w:val="center"/>
              <w:textAlignment w:val="auto"/>
              <w:rPr>
                <w:rFonts w:eastAsia="標楷體" w:hint="eastAsia"/>
                <w:kern w:val="2"/>
                <w:sz w:val="28"/>
                <w:szCs w:val="24"/>
              </w:rPr>
            </w:pPr>
            <w:r w:rsidRPr="00E92126">
              <w:rPr>
                <w:rFonts w:eastAsia="標楷體" w:hint="eastAsia"/>
                <w:kern w:val="2"/>
                <w:sz w:val="28"/>
                <w:szCs w:val="24"/>
              </w:rPr>
              <w:t>＜</w:t>
            </w:r>
            <w:r w:rsidRPr="00E92126">
              <w:rPr>
                <w:rFonts w:eastAsia="標楷體" w:hint="eastAsia"/>
                <w:kern w:val="2"/>
                <w:sz w:val="28"/>
                <w:szCs w:val="24"/>
              </w:rPr>
              <w:t>2.0 min</w:t>
            </w:r>
          </w:p>
        </w:tc>
      </w:tr>
      <w:tr w:rsidR="00E92126" w:rsidRPr="00E92126" w:rsidTr="004972EE">
        <w:tblPrEx>
          <w:tblCellMar>
            <w:top w:w="0" w:type="dxa"/>
            <w:bottom w:w="0" w:type="dxa"/>
          </w:tblCellMar>
        </w:tblPrEx>
        <w:trPr>
          <w:cantSplit/>
        </w:trPr>
        <w:tc>
          <w:tcPr>
            <w:tcW w:w="1108" w:type="dxa"/>
            <w:vMerge w:val="restart"/>
          </w:tcPr>
          <w:p w:rsidR="00E92126" w:rsidRPr="00E92126" w:rsidRDefault="00E92126" w:rsidP="00E92126">
            <w:pPr>
              <w:snapToGrid w:val="0"/>
              <w:spacing w:before="120" w:after="120" w:line="240" w:lineRule="auto"/>
              <w:jc w:val="center"/>
              <w:textAlignment w:val="auto"/>
              <w:rPr>
                <w:rFonts w:eastAsia="標楷體" w:hint="eastAsia"/>
                <w:kern w:val="2"/>
                <w:sz w:val="28"/>
                <w:szCs w:val="24"/>
              </w:rPr>
            </w:pPr>
            <w:r w:rsidRPr="00E92126">
              <w:rPr>
                <w:rFonts w:eastAsia="標楷體" w:hint="eastAsia"/>
                <w:kern w:val="2"/>
                <w:sz w:val="28"/>
                <w:szCs w:val="24"/>
              </w:rPr>
              <w:t>10</w:t>
            </w:r>
          </w:p>
        </w:tc>
        <w:tc>
          <w:tcPr>
            <w:tcW w:w="5410" w:type="dxa"/>
            <w:gridSpan w:val="2"/>
          </w:tcPr>
          <w:p w:rsidR="00E92126" w:rsidRPr="00E92126" w:rsidRDefault="00E92126" w:rsidP="00E92126">
            <w:pPr>
              <w:snapToGrid w:val="0"/>
              <w:spacing w:before="120" w:after="120" w:line="240" w:lineRule="auto"/>
              <w:jc w:val="both"/>
              <w:textAlignment w:val="auto"/>
              <w:rPr>
                <w:rFonts w:eastAsia="標楷體" w:hint="eastAsia"/>
                <w:kern w:val="2"/>
                <w:sz w:val="28"/>
                <w:szCs w:val="24"/>
              </w:rPr>
            </w:pPr>
            <w:r w:rsidRPr="00E92126">
              <w:rPr>
                <w:rFonts w:eastAsia="標楷體" w:hint="eastAsia"/>
                <w:kern w:val="2"/>
                <w:sz w:val="28"/>
                <w:szCs w:val="24"/>
              </w:rPr>
              <w:t>精密度</w:t>
            </w:r>
          </w:p>
        </w:tc>
      </w:tr>
      <w:tr w:rsidR="00E92126" w:rsidRPr="00E92126" w:rsidTr="004972EE">
        <w:tblPrEx>
          <w:tblCellMar>
            <w:top w:w="0" w:type="dxa"/>
            <w:bottom w:w="0" w:type="dxa"/>
          </w:tblCellMar>
        </w:tblPrEx>
        <w:trPr>
          <w:cantSplit/>
        </w:trPr>
        <w:tc>
          <w:tcPr>
            <w:tcW w:w="1108" w:type="dxa"/>
            <w:vMerge/>
          </w:tcPr>
          <w:p w:rsidR="00E92126" w:rsidRPr="00E92126" w:rsidRDefault="00E92126" w:rsidP="00E92126">
            <w:pPr>
              <w:snapToGrid w:val="0"/>
              <w:spacing w:before="120" w:after="120" w:line="240" w:lineRule="auto"/>
              <w:jc w:val="center"/>
              <w:textAlignment w:val="auto"/>
              <w:rPr>
                <w:rFonts w:eastAsia="標楷體" w:hint="eastAsia"/>
                <w:kern w:val="2"/>
                <w:sz w:val="28"/>
                <w:szCs w:val="24"/>
              </w:rPr>
            </w:pPr>
          </w:p>
        </w:tc>
        <w:tc>
          <w:tcPr>
            <w:tcW w:w="3790" w:type="dxa"/>
          </w:tcPr>
          <w:p w:rsidR="00E92126" w:rsidRPr="00E92126" w:rsidRDefault="00E92126" w:rsidP="00E92126">
            <w:pPr>
              <w:snapToGrid w:val="0"/>
              <w:spacing w:before="120" w:after="120" w:line="240" w:lineRule="auto"/>
              <w:jc w:val="both"/>
              <w:textAlignment w:val="auto"/>
              <w:rPr>
                <w:rFonts w:eastAsia="標楷體" w:hint="eastAsia"/>
                <w:kern w:val="2"/>
                <w:sz w:val="28"/>
                <w:szCs w:val="24"/>
              </w:rPr>
            </w:pPr>
            <w:r w:rsidRPr="00E92126">
              <w:rPr>
                <w:rFonts w:eastAsia="標楷體" w:hint="eastAsia"/>
                <w:kern w:val="2"/>
                <w:sz w:val="28"/>
                <w:szCs w:val="24"/>
              </w:rPr>
              <w:t>上限濃度之</w:t>
            </w:r>
            <w:r w:rsidRPr="00E92126">
              <w:rPr>
                <w:rFonts w:eastAsia="標楷體" w:hint="eastAsia"/>
                <w:kern w:val="2"/>
                <w:sz w:val="28"/>
                <w:szCs w:val="24"/>
              </w:rPr>
              <w:t>20%</w:t>
            </w:r>
          </w:p>
        </w:tc>
        <w:tc>
          <w:tcPr>
            <w:tcW w:w="1620" w:type="dxa"/>
          </w:tcPr>
          <w:p w:rsidR="00E92126" w:rsidRPr="00E92126" w:rsidRDefault="00E92126" w:rsidP="00E92126">
            <w:pPr>
              <w:snapToGrid w:val="0"/>
              <w:spacing w:before="120" w:after="120" w:line="240" w:lineRule="auto"/>
              <w:jc w:val="center"/>
              <w:textAlignment w:val="auto"/>
              <w:rPr>
                <w:rFonts w:eastAsia="標楷體" w:hint="eastAsia"/>
                <w:kern w:val="2"/>
                <w:sz w:val="28"/>
                <w:szCs w:val="24"/>
              </w:rPr>
            </w:pPr>
            <w:r w:rsidRPr="00E92126">
              <w:rPr>
                <w:rFonts w:eastAsia="標楷體" w:hint="eastAsia"/>
                <w:kern w:val="2"/>
                <w:sz w:val="28"/>
                <w:szCs w:val="24"/>
              </w:rPr>
              <w:t>±</w:t>
            </w:r>
            <w:r w:rsidRPr="00E92126">
              <w:rPr>
                <w:rFonts w:eastAsia="標楷體" w:hint="eastAsia"/>
                <w:kern w:val="2"/>
                <w:sz w:val="28"/>
                <w:szCs w:val="24"/>
              </w:rPr>
              <w:t>1.0 %</w:t>
            </w:r>
          </w:p>
        </w:tc>
      </w:tr>
      <w:tr w:rsidR="00E92126" w:rsidRPr="00E92126" w:rsidTr="004972EE">
        <w:tblPrEx>
          <w:tblCellMar>
            <w:top w:w="0" w:type="dxa"/>
            <w:bottom w:w="0" w:type="dxa"/>
          </w:tblCellMar>
        </w:tblPrEx>
        <w:trPr>
          <w:cantSplit/>
        </w:trPr>
        <w:tc>
          <w:tcPr>
            <w:tcW w:w="1108" w:type="dxa"/>
            <w:vMerge/>
          </w:tcPr>
          <w:p w:rsidR="00E92126" w:rsidRPr="00E92126" w:rsidRDefault="00E92126" w:rsidP="00E92126">
            <w:pPr>
              <w:snapToGrid w:val="0"/>
              <w:spacing w:before="120" w:after="120" w:line="240" w:lineRule="auto"/>
              <w:jc w:val="center"/>
              <w:textAlignment w:val="auto"/>
              <w:rPr>
                <w:rFonts w:eastAsia="標楷體" w:hint="eastAsia"/>
                <w:kern w:val="2"/>
                <w:sz w:val="28"/>
                <w:szCs w:val="24"/>
              </w:rPr>
            </w:pPr>
          </w:p>
        </w:tc>
        <w:tc>
          <w:tcPr>
            <w:tcW w:w="3790" w:type="dxa"/>
          </w:tcPr>
          <w:p w:rsidR="00E92126" w:rsidRPr="00E92126" w:rsidRDefault="00E92126" w:rsidP="00E92126">
            <w:pPr>
              <w:snapToGrid w:val="0"/>
              <w:spacing w:before="120" w:after="120" w:line="240" w:lineRule="auto"/>
              <w:jc w:val="both"/>
              <w:textAlignment w:val="auto"/>
              <w:rPr>
                <w:rFonts w:eastAsia="標楷體" w:hint="eastAsia"/>
                <w:kern w:val="2"/>
                <w:sz w:val="28"/>
                <w:szCs w:val="24"/>
              </w:rPr>
            </w:pPr>
            <w:r w:rsidRPr="00E92126">
              <w:rPr>
                <w:rFonts w:eastAsia="標楷體" w:hint="eastAsia"/>
                <w:kern w:val="2"/>
                <w:sz w:val="28"/>
                <w:szCs w:val="24"/>
              </w:rPr>
              <w:t>上限濃度之</w:t>
            </w:r>
            <w:r w:rsidRPr="00E92126">
              <w:rPr>
                <w:rFonts w:eastAsia="標楷體" w:hint="eastAsia"/>
                <w:kern w:val="2"/>
                <w:sz w:val="28"/>
                <w:szCs w:val="24"/>
              </w:rPr>
              <w:t>80%</w:t>
            </w:r>
          </w:p>
        </w:tc>
        <w:tc>
          <w:tcPr>
            <w:tcW w:w="1620" w:type="dxa"/>
          </w:tcPr>
          <w:p w:rsidR="00E92126" w:rsidRPr="00E92126" w:rsidRDefault="00E92126" w:rsidP="00E92126">
            <w:pPr>
              <w:snapToGrid w:val="0"/>
              <w:spacing w:before="120" w:after="120" w:line="240" w:lineRule="auto"/>
              <w:jc w:val="center"/>
              <w:textAlignment w:val="auto"/>
              <w:rPr>
                <w:rFonts w:eastAsia="標楷體" w:hint="eastAsia"/>
                <w:kern w:val="2"/>
                <w:sz w:val="28"/>
                <w:szCs w:val="24"/>
              </w:rPr>
            </w:pPr>
            <w:r w:rsidRPr="00E92126">
              <w:rPr>
                <w:rFonts w:eastAsia="標楷體" w:hint="eastAsia"/>
                <w:kern w:val="2"/>
                <w:sz w:val="28"/>
                <w:szCs w:val="24"/>
              </w:rPr>
              <w:t>±</w:t>
            </w:r>
            <w:r w:rsidRPr="00E92126">
              <w:rPr>
                <w:rFonts w:eastAsia="標楷體" w:hint="eastAsia"/>
                <w:kern w:val="2"/>
                <w:sz w:val="28"/>
                <w:szCs w:val="24"/>
              </w:rPr>
              <w:t>1.0 %</w:t>
            </w:r>
          </w:p>
        </w:tc>
      </w:tr>
    </w:tbl>
    <w:p w:rsidR="00E92126" w:rsidRPr="00E92126" w:rsidRDefault="00E92126" w:rsidP="00E92126">
      <w:pPr>
        <w:snapToGrid w:val="0"/>
        <w:spacing w:before="120" w:after="120" w:line="240" w:lineRule="auto"/>
        <w:textAlignment w:val="auto"/>
        <w:rPr>
          <w:rFonts w:eastAsia="標楷體" w:hint="eastAsia"/>
          <w:kern w:val="2"/>
          <w:sz w:val="28"/>
          <w:szCs w:val="24"/>
        </w:rPr>
      </w:pPr>
    </w:p>
    <w:p w:rsidR="00E92126" w:rsidRDefault="00E92126" w:rsidP="00E92126">
      <w:pPr>
        <w:spacing w:before="120" w:after="120" w:line="240" w:lineRule="auto"/>
        <w:ind w:left="600" w:hanging="600"/>
        <w:jc w:val="both"/>
        <w:rPr>
          <w:rFonts w:eastAsia="標楷體"/>
          <w:color w:val="FF0000"/>
          <w:sz w:val="28"/>
          <w:u w:val="single"/>
        </w:rPr>
      </w:pPr>
    </w:p>
    <w:p w:rsidR="00E92126" w:rsidRDefault="00E92126" w:rsidP="00027F68">
      <w:pPr>
        <w:spacing w:before="120" w:after="120" w:line="240" w:lineRule="auto"/>
        <w:jc w:val="both"/>
        <w:rPr>
          <w:rFonts w:eastAsia="標楷體" w:hint="eastAsia"/>
          <w:color w:val="FF0000"/>
          <w:sz w:val="28"/>
          <w:u w:val="single"/>
        </w:rPr>
      </w:pPr>
    </w:p>
    <w:p w:rsidR="00E92126" w:rsidRDefault="00E92126" w:rsidP="00E92126">
      <w:pPr>
        <w:spacing w:before="120" w:after="120" w:line="240" w:lineRule="auto"/>
        <w:ind w:left="600" w:hanging="600"/>
        <w:jc w:val="both"/>
        <w:rPr>
          <w:rFonts w:eastAsia="標楷體"/>
          <w:color w:val="FF0000"/>
          <w:sz w:val="28"/>
          <w:u w:val="single"/>
        </w:rPr>
      </w:pPr>
    </w:p>
    <w:p w:rsidR="00E92126" w:rsidRDefault="002F19E9" w:rsidP="00E92126">
      <w:pPr>
        <w:spacing w:before="120" w:after="120" w:line="240" w:lineRule="auto"/>
        <w:ind w:left="600" w:hanging="600"/>
        <w:jc w:val="both"/>
        <w:rPr>
          <w:rFonts w:eastAsia="標楷體"/>
          <w:sz w:val="28"/>
        </w:rPr>
      </w:pPr>
      <w:r>
        <w:rPr>
          <w:rFonts w:eastAsia="標楷體"/>
          <w:noProof/>
          <w:sz w:val="28"/>
        </w:rPr>
        <w:drawing>
          <wp:inline distT="0" distB="0" distL="0" distR="0">
            <wp:extent cx="5443220" cy="3166110"/>
            <wp:effectExtent l="0" t="0" r="5080" b="0"/>
            <wp:docPr id="20" name="圖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43220" cy="3166110"/>
                    </a:xfrm>
                    <a:prstGeom prst="rect">
                      <a:avLst/>
                    </a:prstGeom>
                    <a:noFill/>
                  </pic:spPr>
                </pic:pic>
              </a:graphicData>
            </a:graphic>
          </wp:inline>
        </w:drawing>
      </w:r>
    </w:p>
    <w:p w:rsidR="00E92126" w:rsidRDefault="00E92126" w:rsidP="00E92126">
      <w:pPr>
        <w:spacing w:before="120" w:after="120" w:line="240" w:lineRule="auto"/>
        <w:ind w:left="600" w:hanging="600"/>
        <w:jc w:val="both"/>
        <w:rPr>
          <w:rFonts w:eastAsia="標楷體"/>
          <w:sz w:val="28"/>
        </w:rPr>
      </w:pPr>
      <w:r>
        <w:rPr>
          <w:rFonts w:eastAsia="標楷體" w:hint="eastAsia"/>
          <w:sz w:val="28"/>
        </w:rPr>
        <w:t xml:space="preserve">            </w:t>
      </w:r>
    </w:p>
    <w:p w:rsidR="00E92126" w:rsidRDefault="00E92126" w:rsidP="00E92126">
      <w:pPr>
        <w:spacing w:before="120" w:after="120" w:line="240" w:lineRule="auto"/>
        <w:ind w:left="600" w:hanging="600"/>
        <w:jc w:val="both"/>
        <w:rPr>
          <w:rFonts w:eastAsia="標楷體"/>
          <w:sz w:val="28"/>
        </w:rPr>
      </w:pPr>
      <w:r>
        <w:rPr>
          <w:rFonts w:eastAsia="標楷體" w:hint="eastAsia"/>
          <w:sz w:val="28"/>
        </w:rPr>
        <w:t xml:space="preserve">                  </w:t>
      </w:r>
      <w:r w:rsidRPr="00FA46D4">
        <w:rPr>
          <w:rFonts w:eastAsia="標楷體" w:hint="eastAsia"/>
          <w:sz w:val="28"/>
        </w:rPr>
        <w:t>圖一、一氧化碳自動分析儀示意圖</w:t>
      </w:r>
    </w:p>
    <w:p w:rsidR="0060209E" w:rsidRDefault="0060209E" w:rsidP="00E92126">
      <w:pPr>
        <w:spacing w:before="120" w:after="120" w:line="240" w:lineRule="auto"/>
        <w:ind w:left="600" w:hanging="600"/>
        <w:jc w:val="both"/>
        <w:rPr>
          <w:rFonts w:eastAsia="標楷體" w:hint="eastAsia"/>
          <w:sz w:val="28"/>
        </w:rPr>
      </w:pPr>
    </w:p>
    <w:p w:rsidR="00E92126" w:rsidRDefault="002F19E9" w:rsidP="0060209E">
      <w:pPr>
        <w:spacing w:before="120" w:after="120" w:line="240" w:lineRule="auto"/>
        <w:ind w:left="600" w:hanging="600"/>
        <w:jc w:val="both"/>
        <w:rPr>
          <w:rFonts w:eastAsia="標楷體" w:hint="eastAsia"/>
          <w:sz w:val="28"/>
        </w:rPr>
      </w:pPr>
      <w:r>
        <w:rPr>
          <w:rFonts w:eastAsia="標楷體"/>
          <w:noProof/>
          <w:sz w:val="28"/>
        </w:rPr>
        <w:drawing>
          <wp:inline distT="0" distB="0" distL="0" distR="0">
            <wp:extent cx="4919980" cy="3023870"/>
            <wp:effectExtent l="0" t="0" r="0" b="5080"/>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19980" cy="3023870"/>
                    </a:xfrm>
                    <a:prstGeom prst="rect">
                      <a:avLst/>
                    </a:prstGeom>
                    <a:noFill/>
                  </pic:spPr>
                </pic:pic>
              </a:graphicData>
            </a:graphic>
          </wp:inline>
        </w:drawing>
      </w:r>
    </w:p>
    <w:p w:rsidR="00E92126" w:rsidRDefault="00E92126" w:rsidP="00E92126">
      <w:pPr>
        <w:snapToGrid w:val="0"/>
        <w:spacing w:before="120" w:after="120" w:line="240" w:lineRule="auto"/>
        <w:ind w:firstLineChars="700" w:firstLine="1960"/>
        <w:textAlignment w:val="auto"/>
        <w:rPr>
          <w:rFonts w:eastAsia="標楷體"/>
          <w:kern w:val="2"/>
          <w:sz w:val="28"/>
          <w:szCs w:val="24"/>
        </w:rPr>
      </w:pPr>
      <w:r>
        <w:rPr>
          <w:rFonts w:eastAsia="標楷體" w:hint="eastAsia"/>
          <w:kern w:val="2"/>
          <w:sz w:val="28"/>
          <w:szCs w:val="24"/>
        </w:rPr>
        <w:t xml:space="preserve">  </w:t>
      </w:r>
      <w:r w:rsidRPr="00E92126">
        <w:rPr>
          <w:rFonts w:eastAsia="標楷體" w:hint="eastAsia"/>
          <w:kern w:val="2"/>
          <w:sz w:val="28"/>
          <w:szCs w:val="24"/>
        </w:rPr>
        <w:t>圖二、動態氣體稀釋法之校正系統</w:t>
      </w:r>
      <w:r>
        <w:rPr>
          <w:rFonts w:eastAsia="標楷體" w:hint="eastAsia"/>
          <w:kern w:val="2"/>
          <w:sz w:val="28"/>
          <w:szCs w:val="24"/>
        </w:rPr>
        <w:t>示意圖</w:t>
      </w:r>
    </w:p>
    <w:p w:rsidR="00E92126" w:rsidRDefault="00E92126" w:rsidP="00E92126">
      <w:pPr>
        <w:snapToGrid w:val="0"/>
        <w:spacing w:before="120" w:after="120" w:line="240" w:lineRule="auto"/>
        <w:textAlignment w:val="auto"/>
        <w:rPr>
          <w:rFonts w:eastAsia="標楷體"/>
          <w:kern w:val="2"/>
          <w:sz w:val="28"/>
          <w:szCs w:val="24"/>
        </w:rPr>
      </w:pPr>
    </w:p>
    <w:p w:rsidR="00E92126" w:rsidRDefault="002F19E9" w:rsidP="00E92126">
      <w:pPr>
        <w:snapToGrid w:val="0"/>
        <w:spacing w:before="120" w:after="120" w:line="240" w:lineRule="auto"/>
        <w:textAlignment w:val="auto"/>
        <w:rPr>
          <w:rFonts w:eastAsia="標楷體" w:hint="eastAsia"/>
          <w:kern w:val="2"/>
          <w:sz w:val="28"/>
          <w:szCs w:val="24"/>
        </w:rPr>
      </w:pPr>
      <w:r>
        <w:rPr>
          <w:rFonts w:eastAsia="標楷體"/>
          <w:noProof/>
          <w:kern w:val="2"/>
          <w:sz w:val="28"/>
          <w:szCs w:val="24"/>
        </w:rPr>
        <w:drawing>
          <wp:inline distT="0" distB="0" distL="0" distR="0">
            <wp:extent cx="5432425" cy="3267710"/>
            <wp:effectExtent l="0" t="0" r="0" b="889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32425" cy="3267710"/>
                    </a:xfrm>
                    <a:prstGeom prst="rect">
                      <a:avLst/>
                    </a:prstGeom>
                    <a:noFill/>
                  </pic:spPr>
                </pic:pic>
              </a:graphicData>
            </a:graphic>
          </wp:inline>
        </w:drawing>
      </w:r>
    </w:p>
    <w:p w:rsidR="00E92126" w:rsidRPr="00E92126" w:rsidRDefault="00E92126" w:rsidP="00E92126">
      <w:pPr>
        <w:snapToGrid w:val="0"/>
        <w:spacing w:before="120" w:after="120" w:line="240" w:lineRule="auto"/>
        <w:jc w:val="center"/>
        <w:textAlignment w:val="auto"/>
        <w:rPr>
          <w:rFonts w:eastAsia="標楷體" w:hint="eastAsia"/>
          <w:kern w:val="2"/>
          <w:sz w:val="28"/>
          <w:szCs w:val="24"/>
        </w:rPr>
      </w:pPr>
      <w:r>
        <w:rPr>
          <w:rFonts w:eastAsia="標楷體" w:hint="eastAsia"/>
          <w:kern w:val="2"/>
          <w:sz w:val="28"/>
          <w:szCs w:val="24"/>
        </w:rPr>
        <w:t xml:space="preserve"> </w:t>
      </w:r>
      <w:r w:rsidRPr="00E92126">
        <w:rPr>
          <w:rFonts w:eastAsia="標楷體" w:hint="eastAsia"/>
          <w:kern w:val="2"/>
          <w:sz w:val="28"/>
          <w:szCs w:val="24"/>
        </w:rPr>
        <w:t>圖三、多鋼瓶氣體法之校正系統示意圖</w:t>
      </w:r>
    </w:p>
    <w:p w:rsidR="00E92126" w:rsidRPr="00E92126" w:rsidRDefault="00E92126" w:rsidP="00E92126">
      <w:pPr>
        <w:snapToGrid w:val="0"/>
        <w:spacing w:before="120" w:after="120" w:line="240" w:lineRule="auto"/>
        <w:textAlignment w:val="auto"/>
        <w:rPr>
          <w:rFonts w:eastAsia="標楷體" w:hint="eastAsia"/>
          <w:kern w:val="2"/>
          <w:sz w:val="28"/>
          <w:szCs w:val="24"/>
        </w:rPr>
      </w:pPr>
    </w:p>
    <w:sectPr w:rsidR="00E92126" w:rsidRPr="00E92126">
      <w:footerReference w:type="even" r:id="rId15"/>
      <w:footerReference w:type="default" r:id="rId16"/>
      <w:pgSz w:w="11906" w:h="16838"/>
      <w:pgMar w:top="1701" w:right="1418" w:bottom="1701" w:left="1418" w:header="851" w:footer="992"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47F" w:rsidRDefault="0099547F">
      <w:r>
        <w:separator/>
      </w:r>
    </w:p>
  </w:endnote>
  <w:endnote w:type="continuationSeparator" w:id="0">
    <w:p w:rsidR="0099547F" w:rsidRDefault="00995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34C" w:rsidRDefault="0097334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7334C" w:rsidRDefault="0097334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34C" w:rsidRDefault="0097334C">
    <w:pPr>
      <w:pStyle w:val="a3"/>
      <w:framePr w:wrap="around" w:vAnchor="text" w:hAnchor="margin" w:xAlign="center" w:y="1"/>
      <w:rPr>
        <w:rStyle w:val="a4"/>
      </w:rPr>
    </w:pPr>
    <w:r>
      <w:rPr>
        <w:rFonts w:eastAsia="標楷體" w:hint="eastAsia"/>
      </w:rPr>
      <w:t>第</w:t>
    </w:r>
    <w:r>
      <w:rPr>
        <w:rFonts w:eastAsia="標楷體"/>
      </w:rPr>
      <w:fldChar w:fldCharType="begin"/>
    </w:r>
    <w:r>
      <w:rPr>
        <w:rFonts w:eastAsia="標楷體"/>
      </w:rPr>
      <w:instrText xml:space="preserve"> PAGE </w:instrText>
    </w:r>
    <w:r>
      <w:rPr>
        <w:rFonts w:eastAsia="標楷體"/>
      </w:rPr>
      <w:fldChar w:fldCharType="separate"/>
    </w:r>
    <w:r w:rsidR="002F19E9">
      <w:rPr>
        <w:rFonts w:eastAsia="標楷體"/>
        <w:noProof/>
      </w:rPr>
      <w:t>1</w:t>
    </w:r>
    <w:r>
      <w:rPr>
        <w:rFonts w:eastAsia="標楷體"/>
      </w:rPr>
      <w:fldChar w:fldCharType="end"/>
    </w:r>
    <w:r>
      <w:rPr>
        <w:rFonts w:eastAsia="標楷體" w:hint="eastAsia"/>
      </w:rPr>
      <w:t>頁，共</w:t>
    </w:r>
    <w:r>
      <w:rPr>
        <w:rFonts w:eastAsia="標楷體"/>
      </w:rPr>
      <w:fldChar w:fldCharType="begin"/>
    </w:r>
    <w:r>
      <w:rPr>
        <w:rFonts w:eastAsia="標楷體"/>
      </w:rPr>
      <w:instrText xml:space="preserve"> NUMPAGES </w:instrText>
    </w:r>
    <w:r>
      <w:rPr>
        <w:rFonts w:eastAsia="標楷體"/>
      </w:rPr>
      <w:fldChar w:fldCharType="separate"/>
    </w:r>
    <w:r w:rsidR="002F19E9">
      <w:rPr>
        <w:rFonts w:eastAsia="標楷體"/>
        <w:noProof/>
      </w:rPr>
      <w:t>3</w:t>
    </w:r>
    <w:r>
      <w:rPr>
        <w:rFonts w:eastAsia="標楷體"/>
      </w:rPr>
      <w:fldChar w:fldCharType="end"/>
    </w:r>
    <w:r>
      <w:rPr>
        <w:rFonts w:eastAsia="標楷體" w:hint="eastAsia"/>
      </w:rPr>
      <w:t>頁</w:t>
    </w:r>
  </w:p>
  <w:p w:rsidR="0097334C" w:rsidRDefault="0097334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47F" w:rsidRDefault="0099547F">
      <w:r>
        <w:separator/>
      </w:r>
    </w:p>
  </w:footnote>
  <w:footnote w:type="continuationSeparator" w:id="0">
    <w:p w:rsidR="0099547F" w:rsidRDefault="009954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43EA8"/>
    <w:multiLevelType w:val="hybridMultilevel"/>
    <w:tmpl w:val="F61A002E"/>
    <w:lvl w:ilvl="0" w:tplc="FE1064C2">
      <w:start w:val="1"/>
      <w:numFmt w:val="taiwaneseCountingThousand"/>
      <w:lvlText w:val="（%1）"/>
      <w:lvlJc w:val="left"/>
      <w:pPr>
        <w:tabs>
          <w:tab w:val="num" w:pos="1140"/>
        </w:tabs>
        <w:ind w:left="1140" w:hanging="720"/>
      </w:pPr>
      <w:rPr>
        <w:rFonts w:hint="default"/>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1">
    <w:nsid w:val="3EEA4CC4"/>
    <w:multiLevelType w:val="hybridMultilevel"/>
    <w:tmpl w:val="E946A874"/>
    <w:lvl w:ilvl="0" w:tplc="DCD8F8D6">
      <w:start w:val="1"/>
      <w:numFmt w:val="decimal"/>
      <w:lvlText w:val="（%1）"/>
      <w:lvlJc w:val="left"/>
      <w:pPr>
        <w:ind w:left="1140" w:hanging="720"/>
      </w:pPr>
      <w:rPr>
        <w:rFonts w:hint="default"/>
        <w:lang w:val="en-US"/>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2">
    <w:nsid w:val="455C153A"/>
    <w:multiLevelType w:val="hybridMultilevel"/>
    <w:tmpl w:val="19C275FA"/>
    <w:lvl w:ilvl="0" w:tplc="55D086D8">
      <w:start w:val="1"/>
      <w:numFmt w:val="taiwaneseCountingThousand"/>
      <w:lvlText w:val="（%1）"/>
      <w:lvlJc w:val="left"/>
      <w:pPr>
        <w:ind w:left="900" w:hanging="480"/>
      </w:pPr>
      <w:rPr>
        <w:rFonts w:hint="eastAsia"/>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3">
    <w:nsid w:val="47B527A4"/>
    <w:multiLevelType w:val="singleLevel"/>
    <w:tmpl w:val="F0E66630"/>
    <w:lvl w:ilvl="0">
      <w:start w:val="1"/>
      <w:numFmt w:val="decimal"/>
      <w:lvlText w:val="%1、"/>
      <w:lvlJc w:val="left"/>
      <w:pPr>
        <w:tabs>
          <w:tab w:val="num" w:pos="1608"/>
        </w:tabs>
        <w:ind w:left="1608" w:hanging="408"/>
      </w:pPr>
      <w:rPr>
        <w:rFonts w:hint="default"/>
      </w:rPr>
    </w:lvl>
  </w:abstractNum>
  <w:abstractNum w:abstractNumId="4">
    <w:nsid w:val="51810E45"/>
    <w:multiLevelType w:val="hybridMultilevel"/>
    <w:tmpl w:val="59325792"/>
    <w:lvl w:ilvl="0" w:tplc="94C23F74">
      <w:start w:val="9"/>
      <w:numFmt w:val="decimal"/>
      <w:lvlText w:val="（%1）"/>
      <w:lvlJc w:val="left"/>
      <w:pPr>
        <w:ind w:left="114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2025F18"/>
    <w:multiLevelType w:val="hybridMultilevel"/>
    <w:tmpl w:val="D51AD998"/>
    <w:lvl w:ilvl="0" w:tplc="DF987616">
      <w:start w:val="1"/>
      <w:numFmt w:val="taiwaneseCountingThousand"/>
      <w:lvlText w:val="%1、"/>
      <w:lvlJc w:val="left"/>
      <w:pPr>
        <w:tabs>
          <w:tab w:val="num" w:pos="570"/>
        </w:tabs>
        <w:ind w:left="570" w:hanging="570"/>
      </w:pPr>
      <w:rPr>
        <w:rFonts w:hint="eastAsia"/>
      </w:rPr>
    </w:lvl>
    <w:lvl w:ilvl="1" w:tplc="4532EF68">
      <w:start w:val="1"/>
      <w:numFmt w:val="taiwaneseCountingThousand"/>
      <w:lvlText w:val="（%2）"/>
      <w:lvlJc w:val="left"/>
      <w:pPr>
        <w:tabs>
          <w:tab w:val="num" w:pos="855"/>
        </w:tabs>
        <w:ind w:left="855" w:hanging="855"/>
      </w:pPr>
      <w:rPr>
        <w:rFonts w:hint="default"/>
        <w:lang w:val="en-US"/>
      </w:rPr>
    </w:lvl>
    <w:lvl w:ilvl="2" w:tplc="8C423FF4">
      <w:start w:val="1"/>
      <w:numFmt w:val="decimal"/>
      <w:lvlText w:val="%3."/>
      <w:lvlJc w:val="left"/>
      <w:pPr>
        <w:tabs>
          <w:tab w:val="num" w:pos="1320"/>
        </w:tabs>
        <w:ind w:left="1320" w:hanging="360"/>
      </w:pPr>
      <w:rPr>
        <w:rFonts w:hint="eastAsia"/>
        <w:strike w:val="0"/>
        <w:color w:val="auto"/>
      </w:rPr>
    </w:lvl>
    <w:lvl w:ilvl="3" w:tplc="3656C976">
      <w:start w:val="1"/>
      <w:numFmt w:val="decimal"/>
      <w:lvlText w:val="（%4）"/>
      <w:lvlJc w:val="left"/>
      <w:pPr>
        <w:tabs>
          <w:tab w:val="num" w:pos="1712"/>
        </w:tabs>
        <w:ind w:left="1712" w:hanging="720"/>
      </w:pPr>
      <w:rPr>
        <w:rFonts w:hint="eastAsia"/>
        <w:strike w:val="0"/>
        <w:color w:val="auto"/>
      </w:rPr>
    </w:lvl>
    <w:lvl w:ilvl="4" w:tplc="20F6F16E">
      <w:start w:val="1"/>
      <w:numFmt w:val="lowerLetter"/>
      <w:lvlText w:val="%5."/>
      <w:lvlJc w:val="left"/>
      <w:pPr>
        <w:tabs>
          <w:tab w:val="num" w:pos="1919"/>
        </w:tabs>
        <w:ind w:left="1919" w:hanging="36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70FD5A00"/>
    <w:multiLevelType w:val="singleLevel"/>
    <w:tmpl w:val="E93C349A"/>
    <w:lvl w:ilvl="0">
      <w:start w:val="1"/>
      <w:numFmt w:val="decimal"/>
      <w:lvlText w:val="%1."/>
      <w:lvlJc w:val="left"/>
      <w:pPr>
        <w:tabs>
          <w:tab w:val="num" w:pos="1485"/>
        </w:tabs>
        <w:ind w:left="1485" w:hanging="285"/>
      </w:pPr>
      <w:rPr>
        <w:rFonts w:hint="default"/>
      </w:rPr>
    </w:lvl>
  </w:abstractNum>
  <w:abstractNum w:abstractNumId="7">
    <w:nsid w:val="74187D71"/>
    <w:multiLevelType w:val="singleLevel"/>
    <w:tmpl w:val="6F5CAB10"/>
    <w:lvl w:ilvl="0">
      <w:start w:val="4"/>
      <w:numFmt w:val="bullet"/>
      <w:lvlText w:val="※"/>
      <w:lvlJc w:val="left"/>
      <w:pPr>
        <w:tabs>
          <w:tab w:val="num" w:pos="285"/>
        </w:tabs>
        <w:ind w:left="285" w:hanging="285"/>
      </w:pPr>
      <w:rPr>
        <w:rFonts w:ascii="標楷體" w:eastAsia="標楷體" w:hAnsi="Times New Roman" w:hint="eastAsia"/>
      </w:rPr>
    </w:lvl>
  </w:abstractNum>
  <w:abstractNum w:abstractNumId="8">
    <w:nsid w:val="78396357"/>
    <w:multiLevelType w:val="hybridMultilevel"/>
    <w:tmpl w:val="622E17B2"/>
    <w:lvl w:ilvl="0" w:tplc="1EE0F6D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9">
    <w:nsid w:val="7A2E0ED2"/>
    <w:multiLevelType w:val="hybridMultilevel"/>
    <w:tmpl w:val="F3CEDEE6"/>
    <w:lvl w:ilvl="0" w:tplc="8B582ADE">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6"/>
  </w:num>
  <w:num w:numId="2">
    <w:abstractNumId w:val="3"/>
  </w:num>
  <w:num w:numId="3">
    <w:abstractNumId w:val="7"/>
  </w:num>
  <w:num w:numId="4">
    <w:abstractNumId w:val="8"/>
  </w:num>
  <w:num w:numId="5">
    <w:abstractNumId w:val="9"/>
  </w:num>
  <w:num w:numId="6">
    <w:abstractNumId w:val="0"/>
  </w:num>
  <w:num w:numId="7">
    <w:abstractNumId w:val="5"/>
  </w:num>
  <w:num w:numId="8">
    <w:abstractNumId w:val="1"/>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4D5"/>
    <w:rsid w:val="00027F68"/>
    <w:rsid w:val="000B23D3"/>
    <w:rsid w:val="000B651B"/>
    <w:rsid w:val="000C4277"/>
    <w:rsid w:val="000F5115"/>
    <w:rsid w:val="0010417F"/>
    <w:rsid w:val="00114ECD"/>
    <w:rsid w:val="00142BC7"/>
    <w:rsid w:val="001463D0"/>
    <w:rsid w:val="001645A7"/>
    <w:rsid w:val="00195830"/>
    <w:rsid w:val="001A1FBA"/>
    <w:rsid w:val="001C4D5A"/>
    <w:rsid w:val="001E6DA5"/>
    <w:rsid w:val="002210DB"/>
    <w:rsid w:val="002419E7"/>
    <w:rsid w:val="00254630"/>
    <w:rsid w:val="00265ABE"/>
    <w:rsid w:val="002A4381"/>
    <w:rsid w:val="002C2319"/>
    <w:rsid w:val="002E0D1B"/>
    <w:rsid w:val="002F19E9"/>
    <w:rsid w:val="002F794B"/>
    <w:rsid w:val="00300A48"/>
    <w:rsid w:val="00314A8A"/>
    <w:rsid w:val="0033203C"/>
    <w:rsid w:val="003D5822"/>
    <w:rsid w:val="003D6619"/>
    <w:rsid w:val="003E5423"/>
    <w:rsid w:val="003F3D8C"/>
    <w:rsid w:val="003F686B"/>
    <w:rsid w:val="0043107F"/>
    <w:rsid w:val="00447B96"/>
    <w:rsid w:val="004972EE"/>
    <w:rsid w:val="004E56F7"/>
    <w:rsid w:val="005525FB"/>
    <w:rsid w:val="00553D1F"/>
    <w:rsid w:val="005B2426"/>
    <w:rsid w:val="005B693A"/>
    <w:rsid w:val="005B6AD0"/>
    <w:rsid w:val="0060209E"/>
    <w:rsid w:val="00606ADB"/>
    <w:rsid w:val="00626097"/>
    <w:rsid w:val="00704B8D"/>
    <w:rsid w:val="007055E8"/>
    <w:rsid w:val="00713262"/>
    <w:rsid w:val="00713490"/>
    <w:rsid w:val="007364A5"/>
    <w:rsid w:val="0074749D"/>
    <w:rsid w:val="00796FDC"/>
    <w:rsid w:val="007C7BA7"/>
    <w:rsid w:val="007F702E"/>
    <w:rsid w:val="0084211D"/>
    <w:rsid w:val="009164D5"/>
    <w:rsid w:val="009712FA"/>
    <w:rsid w:val="0097334C"/>
    <w:rsid w:val="0099547F"/>
    <w:rsid w:val="009A5F15"/>
    <w:rsid w:val="009B6AC1"/>
    <w:rsid w:val="009E70B2"/>
    <w:rsid w:val="00A01EBF"/>
    <w:rsid w:val="00A45D74"/>
    <w:rsid w:val="00AE2ADC"/>
    <w:rsid w:val="00B50548"/>
    <w:rsid w:val="00BC3D81"/>
    <w:rsid w:val="00BF21E2"/>
    <w:rsid w:val="00C1078A"/>
    <w:rsid w:val="00C232AA"/>
    <w:rsid w:val="00C448DF"/>
    <w:rsid w:val="00CB1976"/>
    <w:rsid w:val="00CD5ACC"/>
    <w:rsid w:val="00D241C4"/>
    <w:rsid w:val="00D43F9D"/>
    <w:rsid w:val="00D634C5"/>
    <w:rsid w:val="00D75C51"/>
    <w:rsid w:val="00D82632"/>
    <w:rsid w:val="00DC7E9E"/>
    <w:rsid w:val="00DD0CD3"/>
    <w:rsid w:val="00DD5759"/>
    <w:rsid w:val="00E13918"/>
    <w:rsid w:val="00E23366"/>
    <w:rsid w:val="00E447CE"/>
    <w:rsid w:val="00E724DE"/>
    <w:rsid w:val="00E92126"/>
    <w:rsid w:val="00F41C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7E9E"/>
    <w:pPr>
      <w:widowControl w:val="0"/>
      <w:adjustRightInd w:val="0"/>
      <w:spacing w:line="360" w:lineRule="atLeast"/>
      <w:textAlignment w:val="baseline"/>
    </w:pPr>
    <w:rPr>
      <w:sz w:val="24"/>
    </w:rPr>
  </w:style>
  <w:style w:type="paragraph" w:styleId="1">
    <w:name w:val="heading 1"/>
    <w:basedOn w:val="a"/>
    <w:next w:val="a"/>
    <w:qFormat/>
    <w:pPr>
      <w:keepNext/>
      <w:widowControl/>
      <w:autoSpaceDE w:val="0"/>
      <w:autoSpaceDN w:val="0"/>
      <w:spacing w:line="480" w:lineRule="atLeast"/>
      <w:jc w:val="right"/>
      <w:textAlignment w:val="bottom"/>
      <w:outlineLvl w:val="0"/>
    </w:pPr>
    <w:rPr>
      <w:rFonts w:ascii="標楷體" w:eastAsia="標楷體"/>
      <w:sz w:val="28"/>
    </w:rPr>
  </w:style>
  <w:style w:type="paragraph" w:styleId="2">
    <w:name w:val="heading 2"/>
    <w:basedOn w:val="a"/>
    <w:next w:val="a"/>
    <w:qFormat/>
    <w:pPr>
      <w:keepNext/>
      <w:spacing w:line="380" w:lineRule="atLeast"/>
      <w:outlineLvl w:val="1"/>
    </w:pPr>
    <w:rPr>
      <w:rFonts w:eastAsia="標楷體"/>
      <w:sz w:val="28"/>
    </w:rPr>
  </w:style>
  <w:style w:type="paragraph" w:styleId="3">
    <w:name w:val="heading 3"/>
    <w:basedOn w:val="a"/>
    <w:next w:val="a"/>
    <w:qFormat/>
    <w:pPr>
      <w:keepNext/>
      <w:spacing w:line="380" w:lineRule="atLeast"/>
      <w:outlineLvl w:val="2"/>
    </w:pPr>
    <w:rPr>
      <w:rFonts w:eastAsia="標楷體"/>
      <w:color w:val="FF0000"/>
      <w:sz w:val="28"/>
      <w:u w:val="singl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153"/>
        <w:tab w:val="right" w:pos="8306"/>
      </w:tabs>
    </w:pPr>
    <w:rPr>
      <w:sz w:val="20"/>
    </w:rPr>
  </w:style>
  <w:style w:type="character" w:styleId="a4">
    <w:name w:val="page number"/>
    <w:basedOn w:val="a0"/>
  </w:style>
  <w:style w:type="character" w:customStyle="1" w:styleId="HTMLMarkup">
    <w:name w:val="HTML Markup"/>
    <w:rPr>
      <w:vanish/>
      <w:color w:val="FF0000"/>
    </w:rPr>
  </w:style>
  <w:style w:type="paragraph" w:styleId="a5">
    <w:name w:val="header"/>
    <w:basedOn w:val="a"/>
    <w:pPr>
      <w:tabs>
        <w:tab w:val="center" w:pos="4153"/>
        <w:tab w:val="right" w:pos="8306"/>
      </w:tabs>
      <w:snapToGrid w:val="0"/>
    </w:pPr>
    <w:rPr>
      <w:sz w:val="20"/>
    </w:rPr>
  </w:style>
  <w:style w:type="paragraph" w:styleId="a6">
    <w:name w:val="Date"/>
    <w:basedOn w:val="a"/>
    <w:next w:val="a"/>
    <w:pPr>
      <w:autoSpaceDE w:val="0"/>
      <w:autoSpaceDN w:val="0"/>
      <w:spacing w:line="240" w:lineRule="auto"/>
      <w:jc w:val="right"/>
      <w:textAlignment w:val="auto"/>
    </w:pPr>
    <w:rPr>
      <w:szCs w:val="24"/>
    </w:rPr>
  </w:style>
  <w:style w:type="paragraph" w:styleId="a7">
    <w:name w:val="Body Text Indent"/>
    <w:basedOn w:val="a"/>
    <w:pPr>
      <w:spacing w:before="120" w:after="120" w:line="240" w:lineRule="auto"/>
      <w:ind w:left="1200"/>
      <w:jc w:val="both"/>
    </w:pPr>
    <w:rPr>
      <w:rFonts w:eastAsia="標楷體"/>
      <w:sz w:val="28"/>
    </w:rPr>
  </w:style>
  <w:style w:type="paragraph" w:styleId="20">
    <w:name w:val="Body Text Indent 2"/>
    <w:basedOn w:val="a"/>
    <w:pPr>
      <w:spacing w:before="120" w:after="120" w:line="240" w:lineRule="auto"/>
      <w:ind w:left="1259" w:hanging="839"/>
      <w:jc w:val="both"/>
    </w:pPr>
    <w:rPr>
      <w:rFonts w:eastAsia="標楷體"/>
      <w:sz w:val="28"/>
    </w:rPr>
  </w:style>
  <w:style w:type="paragraph" w:styleId="a8">
    <w:name w:val="List Paragraph"/>
    <w:basedOn w:val="a"/>
    <w:uiPriority w:val="34"/>
    <w:qFormat/>
    <w:rsid w:val="0033203C"/>
    <w:pPr>
      <w:ind w:leftChars="200" w:left="480"/>
    </w:pPr>
  </w:style>
  <w:style w:type="paragraph" w:customStyle="1" w:styleId="Preformatted">
    <w:name w:val="Preformatted"/>
    <w:basedOn w:val="a"/>
    <w:rsid w:val="003D5822"/>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240" w:lineRule="auto"/>
      <w:textAlignment w:val="auto"/>
    </w:pPr>
    <w:rPr>
      <w:rFonts w:ascii="新細明體" w:eastAsia="新細明體"/>
      <w:sz w:val="20"/>
    </w:rPr>
  </w:style>
  <w:style w:type="paragraph" w:styleId="a9">
    <w:name w:val="Balloon Text"/>
    <w:basedOn w:val="a"/>
    <w:link w:val="aa"/>
    <w:rsid w:val="0043107F"/>
    <w:pPr>
      <w:spacing w:line="240" w:lineRule="auto"/>
    </w:pPr>
    <w:rPr>
      <w:rFonts w:ascii="Calibri Light" w:eastAsia="新細明體" w:hAnsi="Calibri Light"/>
      <w:sz w:val="18"/>
      <w:szCs w:val="18"/>
    </w:rPr>
  </w:style>
  <w:style w:type="character" w:customStyle="1" w:styleId="aa">
    <w:name w:val="註解方塊文字 字元"/>
    <w:link w:val="a9"/>
    <w:rsid w:val="0043107F"/>
    <w:rPr>
      <w:rFonts w:ascii="Calibri Light" w:eastAsia="新細明體" w:hAnsi="Calibri Light"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7E9E"/>
    <w:pPr>
      <w:widowControl w:val="0"/>
      <w:adjustRightInd w:val="0"/>
      <w:spacing w:line="360" w:lineRule="atLeast"/>
      <w:textAlignment w:val="baseline"/>
    </w:pPr>
    <w:rPr>
      <w:sz w:val="24"/>
    </w:rPr>
  </w:style>
  <w:style w:type="paragraph" w:styleId="1">
    <w:name w:val="heading 1"/>
    <w:basedOn w:val="a"/>
    <w:next w:val="a"/>
    <w:qFormat/>
    <w:pPr>
      <w:keepNext/>
      <w:widowControl/>
      <w:autoSpaceDE w:val="0"/>
      <w:autoSpaceDN w:val="0"/>
      <w:spacing w:line="480" w:lineRule="atLeast"/>
      <w:jc w:val="right"/>
      <w:textAlignment w:val="bottom"/>
      <w:outlineLvl w:val="0"/>
    </w:pPr>
    <w:rPr>
      <w:rFonts w:ascii="標楷體" w:eastAsia="標楷體"/>
      <w:sz w:val="28"/>
    </w:rPr>
  </w:style>
  <w:style w:type="paragraph" w:styleId="2">
    <w:name w:val="heading 2"/>
    <w:basedOn w:val="a"/>
    <w:next w:val="a"/>
    <w:qFormat/>
    <w:pPr>
      <w:keepNext/>
      <w:spacing w:line="380" w:lineRule="atLeast"/>
      <w:outlineLvl w:val="1"/>
    </w:pPr>
    <w:rPr>
      <w:rFonts w:eastAsia="標楷體"/>
      <w:sz w:val="28"/>
    </w:rPr>
  </w:style>
  <w:style w:type="paragraph" w:styleId="3">
    <w:name w:val="heading 3"/>
    <w:basedOn w:val="a"/>
    <w:next w:val="a"/>
    <w:qFormat/>
    <w:pPr>
      <w:keepNext/>
      <w:spacing w:line="380" w:lineRule="atLeast"/>
      <w:outlineLvl w:val="2"/>
    </w:pPr>
    <w:rPr>
      <w:rFonts w:eastAsia="標楷體"/>
      <w:color w:val="FF0000"/>
      <w:sz w:val="28"/>
      <w:u w:val="singl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153"/>
        <w:tab w:val="right" w:pos="8306"/>
      </w:tabs>
    </w:pPr>
    <w:rPr>
      <w:sz w:val="20"/>
    </w:rPr>
  </w:style>
  <w:style w:type="character" w:styleId="a4">
    <w:name w:val="page number"/>
    <w:basedOn w:val="a0"/>
  </w:style>
  <w:style w:type="character" w:customStyle="1" w:styleId="HTMLMarkup">
    <w:name w:val="HTML Markup"/>
    <w:rPr>
      <w:vanish/>
      <w:color w:val="FF0000"/>
    </w:rPr>
  </w:style>
  <w:style w:type="paragraph" w:styleId="a5">
    <w:name w:val="header"/>
    <w:basedOn w:val="a"/>
    <w:pPr>
      <w:tabs>
        <w:tab w:val="center" w:pos="4153"/>
        <w:tab w:val="right" w:pos="8306"/>
      </w:tabs>
      <w:snapToGrid w:val="0"/>
    </w:pPr>
    <w:rPr>
      <w:sz w:val="20"/>
    </w:rPr>
  </w:style>
  <w:style w:type="paragraph" w:styleId="a6">
    <w:name w:val="Date"/>
    <w:basedOn w:val="a"/>
    <w:next w:val="a"/>
    <w:pPr>
      <w:autoSpaceDE w:val="0"/>
      <w:autoSpaceDN w:val="0"/>
      <w:spacing w:line="240" w:lineRule="auto"/>
      <w:jc w:val="right"/>
      <w:textAlignment w:val="auto"/>
    </w:pPr>
    <w:rPr>
      <w:szCs w:val="24"/>
    </w:rPr>
  </w:style>
  <w:style w:type="paragraph" w:styleId="a7">
    <w:name w:val="Body Text Indent"/>
    <w:basedOn w:val="a"/>
    <w:pPr>
      <w:spacing w:before="120" w:after="120" w:line="240" w:lineRule="auto"/>
      <w:ind w:left="1200"/>
      <w:jc w:val="both"/>
    </w:pPr>
    <w:rPr>
      <w:rFonts w:eastAsia="標楷體"/>
      <w:sz w:val="28"/>
    </w:rPr>
  </w:style>
  <w:style w:type="paragraph" w:styleId="20">
    <w:name w:val="Body Text Indent 2"/>
    <w:basedOn w:val="a"/>
    <w:pPr>
      <w:spacing w:before="120" w:after="120" w:line="240" w:lineRule="auto"/>
      <w:ind w:left="1259" w:hanging="839"/>
      <w:jc w:val="both"/>
    </w:pPr>
    <w:rPr>
      <w:rFonts w:eastAsia="標楷體"/>
      <w:sz w:val="28"/>
    </w:rPr>
  </w:style>
  <w:style w:type="paragraph" w:styleId="a8">
    <w:name w:val="List Paragraph"/>
    <w:basedOn w:val="a"/>
    <w:uiPriority w:val="34"/>
    <w:qFormat/>
    <w:rsid w:val="0033203C"/>
    <w:pPr>
      <w:ind w:leftChars="200" w:left="480"/>
    </w:pPr>
  </w:style>
  <w:style w:type="paragraph" w:customStyle="1" w:styleId="Preformatted">
    <w:name w:val="Preformatted"/>
    <w:basedOn w:val="a"/>
    <w:rsid w:val="003D5822"/>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240" w:lineRule="auto"/>
      <w:textAlignment w:val="auto"/>
    </w:pPr>
    <w:rPr>
      <w:rFonts w:ascii="新細明體" w:eastAsia="新細明體"/>
      <w:sz w:val="20"/>
    </w:rPr>
  </w:style>
  <w:style w:type="paragraph" w:styleId="a9">
    <w:name w:val="Balloon Text"/>
    <w:basedOn w:val="a"/>
    <w:link w:val="aa"/>
    <w:rsid w:val="0043107F"/>
    <w:pPr>
      <w:spacing w:line="240" w:lineRule="auto"/>
    </w:pPr>
    <w:rPr>
      <w:rFonts w:ascii="Calibri Light" w:eastAsia="新細明體" w:hAnsi="Calibri Light"/>
      <w:sz w:val="18"/>
      <w:szCs w:val="18"/>
    </w:rPr>
  </w:style>
  <w:style w:type="character" w:customStyle="1" w:styleId="aa">
    <w:name w:val="註解方塊文字 字元"/>
    <w:link w:val="a9"/>
    <w:rsid w:val="0043107F"/>
    <w:rPr>
      <w:rFonts w:ascii="Calibri Light" w:eastAsia="新細明體" w:hAnsi="Calibri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625</Words>
  <Characters>3568</Characters>
  <Application>Microsoft Office Word</Application>
  <DocSecurity>0</DocSecurity>
  <Lines>29</Lines>
  <Paragraphs>8</Paragraphs>
  <ScaleCrop>false</ScaleCrop>
  <Company>環檢所(355010000IE4Z600)</Company>
  <LinksUpToDate>false</LinksUpToDate>
  <CharactersWithSpaces>4185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空氣中揮發性有機化合物檢測方法－不銹鋼採樣筒/氣相層析質譜儀法(NIEA A715.14B)</dc:title>
  <dc:subject>空氣中揮發性有機化合物檢測方法－不銹鋼採樣筒/氣相層析質譜儀法(NIEA A715.14B)</dc:subject>
  <dc:creator>環檢所</dc:creator>
  <cp:keywords>揮發性有機化合物;不銹鋼採樣筒;氣相層析質譜儀;VOCs;Canister;GC/MS</cp:keywords>
  <cp:lastModifiedBy>ling</cp:lastModifiedBy>
  <cp:revision>2</cp:revision>
  <cp:lastPrinted>2015-11-30T07:29:00Z</cp:lastPrinted>
  <dcterms:created xsi:type="dcterms:W3CDTF">2016-01-06T03:14:00Z</dcterms:created>
  <dcterms:modified xsi:type="dcterms:W3CDTF">2016-01-06T03:14:00Z</dcterms:modified>
  <cp:category>770;CB1;E4Z</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